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34" w:rsidRDefault="009F33EA" w:rsidP="00A919BC">
      <w:pPr>
        <w:pStyle w:val="Head1"/>
        <w:tabs>
          <w:tab w:val="left" w:pos="426"/>
        </w:tabs>
      </w:pPr>
      <w:bookmarkStart w:id="0" w:name="_GoBack"/>
      <w:bookmarkEnd w:id="0"/>
      <w:r>
        <w:t>Editorial Change</w:t>
      </w:r>
      <w:r w:rsidR="009C4D74">
        <w:t xml:space="preserve">s—Report No. </w:t>
      </w:r>
      <w:r w:rsidR="00DE048B">
        <w:t>3</w:t>
      </w:r>
    </w:p>
    <w:p w:rsidR="008E17F3" w:rsidRPr="004D0C34" w:rsidRDefault="009C4D74" w:rsidP="004D0C34">
      <w:pPr>
        <w:pStyle w:val="Head2"/>
      </w:pPr>
      <w:r>
        <w:t>1 J</w:t>
      </w:r>
      <w:r w:rsidR="00DE048B">
        <w:t>anuary</w:t>
      </w:r>
      <w:r w:rsidR="004D0C34">
        <w:t xml:space="preserve"> 201</w:t>
      </w:r>
      <w:r w:rsidR="00DE048B">
        <w:t>7</w:t>
      </w:r>
      <w:r w:rsidR="004D0C34">
        <w:t>–</w:t>
      </w:r>
      <w:r>
        <w:t>3</w:t>
      </w:r>
      <w:r w:rsidR="00DE048B">
        <w:t xml:space="preserve">0 June </w:t>
      </w:r>
      <w:r w:rsidR="004D0C34" w:rsidRPr="004D0C34">
        <w:t>201</w:t>
      </w:r>
      <w:r w:rsidR="00DE048B">
        <w:t>7</w:t>
      </w:r>
    </w:p>
    <w:p w:rsidR="00EE182A" w:rsidRDefault="009F33EA" w:rsidP="00EE182A">
      <w:pPr>
        <w:pStyle w:val="BodyNum"/>
      </w:pPr>
      <w:r>
        <w:t>In preparing compilations for registration</w:t>
      </w:r>
      <w:r w:rsidR="007E0AF5">
        <w:t xml:space="preserve"> during the above period</w:t>
      </w:r>
      <w:r>
        <w:t xml:space="preserve">, First Parliamentary Counsel made the following editorial changes under the </w:t>
      </w:r>
      <w:r>
        <w:rPr>
          <w:i/>
        </w:rPr>
        <w:t>Legislation Act 2003</w:t>
      </w:r>
      <w:r>
        <w:t>.</w:t>
      </w:r>
    </w:p>
    <w:p w:rsidR="00B5713E" w:rsidRDefault="00B5713E" w:rsidP="00B5713E">
      <w:pPr>
        <w:pStyle w:val="BodyNum"/>
      </w:pPr>
      <w:r>
        <w:t>The summary of editorial changes for th</w:t>
      </w:r>
      <w:r w:rsidRPr="00025B66">
        <w:t xml:space="preserve">e </w:t>
      </w:r>
      <w:r w:rsidR="004F72B1">
        <w:t>3</w:t>
      </w:r>
      <w:r w:rsidR="007B7102">
        <w:t>3</w:t>
      </w:r>
      <w:r w:rsidRPr="00025B66">
        <w:t xml:space="preserve"> c</w:t>
      </w:r>
      <w:r>
        <w:t>ompilations affected is as follows:</w:t>
      </w:r>
    </w:p>
    <w:p w:rsidR="00B5713E" w:rsidRDefault="00B5713E" w:rsidP="00B5713E">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B5713E" w:rsidRPr="00A40A2D" w:rsidTr="006B074C">
        <w:trPr>
          <w:tblHeader/>
        </w:trPr>
        <w:tc>
          <w:tcPr>
            <w:tcW w:w="714" w:type="dxa"/>
            <w:tcBorders>
              <w:top w:val="single" w:sz="12" w:space="0" w:color="auto"/>
              <w:bottom w:val="single" w:sz="12" w:space="0" w:color="auto"/>
            </w:tcBorders>
            <w:shd w:val="clear" w:color="auto" w:fill="auto"/>
          </w:tcPr>
          <w:p w:rsidR="00B5713E" w:rsidRDefault="00B5713E" w:rsidP="0085557A">
            <w:pPr>
              <w:pStyle w:val="TableHeading"/>
            </w:pPr>
            <w:r>
              <w:t>Item</w:t>
            </w:r>
          </w:p>
        </w:tc>
        <w:tc>
          <w:tcPr>
            <w:tcW w:w="6652" w:type="dxa"/>
            <w:tcBorders>
              <w:top w:val="single" w:sz="12" w:space="0" w:color="auto"/>
              <w:bottom w:val="single" w:sz="12" w:space="0" w:color="auto"/>
            </w:tcBorders>
            <w:shd w:val="clear" w:color="auto" w:fill="auto"/>
          </w:tcPr>
          <w:p w:rsidR="00B5713E" w:rsidRDefault="00B5713E" w:rsidP="0085557A">
            <w:pPr>
              <w:pStyle w:val="TableHeading"/>
            </w:pPr>
            <w:r>
              <w:t>Kind of editorial change</w:t>
            </w:r>
          </w:p>
        </w:tc>
        <w:tc>
          <w:tcPr>
            <w:tcW w:w="1660" w:type="dxa"/>
            <w:tcBorders>
              <w:top w:val="single" w:sz="12" w:space="0" w:color="auto"/>
              <w:bottom w:val="single" w:sz="12" w:space="0" w:color="auto"/>
            </w:tcBorders>
            <w:shd w:val="clear" w:color="auto" w:fill="auto"/>
          </w:tcPr>
          <w:p w:rsidR="00B5713E" w:rsidRDefault="00B5713E" w:rsidP="0085557A">
            <w:pPr>
              <w:pStyle w:val="TableHeading"/>
            </w:pPr>
            <w:r>
              <w:t>Number</w:t>
            </w:r>
          </w:p>
        </w:tc>
      </w:tr>
      <w:tr w:rsidR="006B074C" w:rsidRPr="00A40A2D" w:rsidTr="006B074C">
        <w:tc>
          <w:tcPr>
            <w:tcW w:w="714" w:type="dxa"/>
            <w:tcBorders>
              <w:top w:val="single" w:sz="12" w:space="0" w:color="auto"/>
            </w:tcBorders>
            <w:shd w:val="clear" w:color="auto" w:fill="auto"/>
          </w:tcPr>
          <w:p w:rsidR="006B074C" w:rsidRDefault="006B074C" w:rsidP="00A67F12">
            <w:pPr>
              <w:pStyle w:val="Tabletext"/>
            </w:pPr>
            <w:r>
              <w:t>1</w:t>
            </w:r>
          </w:p>
        </w:tc>
        <w:tc>
          <w:tcPr>
            <w:tcW w:w="6652" w:type="dxa"/>
            <w:tcBorders>
              <w:top w:val="single" w:sz="12" w:space="0" w:color="auto"/>
            </w:tcBorders>
            <w:shd w:val="clear" w:color="auto" w:fill="auto"/>
          </w:tcPr>
          <w:p w:rsidR="006B074C" w:rsidRPr="00C76F1B" w:rsidRDefault="006B074C" w:rsidP="00A67F12">
            <w:pPr>
              <w:pStyle w:val="Tabletext"/>
            </w:pPr>
            <w:r w:rsidRPr="003A2B6B">
              <w:t>Change to grammar, syntax or the use of conjunctives or disjunctives</w:t>
            </w:r>
          </w:p>
        </w:tc>
        <w:tc>
          <w:tcPr>
            <w:tcW w:w="1660" w:type="dxa"/>
            <w:tcBorders>
              <w:top w:val="single" w:sz="12" w:space="0" w:color="auto"/>
            </w:tcBorders>
            <w:shd w:val="clear" w:color="auto" w:fill="auto"/>
          </w:tcPr>
          <w:p w:rsidR="006B074C" w:rsidRDefault="00DD5C9D" w:rsidP="00A67F12">
            <w:pPr>
              <w:pStyle w:val="Tabletext"/>
            </w:pPr>
            <w:r>
              <w:t>2</w:t>
            </w:r>
          </w:p>
        </w:tc>
      </w:tr>
      <w:tr w:rsidR="00C76F1B" w:rsidRPr="00A40A2D" w:rsidTr="006B074C">
        <w:tc>
          <w:tcPr>
            <w:tcW w:w="714" w:type="dxa"/>
            <w:shd w:val="clear" w:color="auto" w:fill="auto"/>
          </w:tcPr>
          <w:p w:rsidR="00C76F1B" w:rsidRDefault="006B074C" w:rsidP="00A67F12">
            <w:pPr>
              <w:pStyle w:val="Tabletext"/>
            </w:pPr>
            <w:r>
              <w:t>2</w:t>
            </w:r>
          </w:p>
        </w:tc>
        <w:tc>
          <w:tcPr>
            <w:tcW w:w="6652" w:type="dxa"/>
            <w:shd w:val="clear" w:color="auto" w:fill="auto"/>
          </w:tcPr>
          <w:p w:rsidR="00C76F1B" w:rsidRPr="003217A4" w:rsidRDefault="00C76F1B" w:rsidP="00A67F12">
            <w:pPr>
              <w:pStyle w:val="Tabletext"/>
            </w:pPr>
            <w:r w:rsidRPr="00C76F1B">
              <w:t>Change to punctuation</w:t>
            </w:r>
          </w:p>
        </w:tc>
        <w:tc>
          <w:tcPr>
            <w:tcW w:w="1660" w:type="dxa"/>
            <w:shd w:val="clear" w:color="auto" w:fill="auto"/>
          </w:tcPr>
          <w:p w:rsidR="00C76F1B" w:rsidRDefault="003A1E6E" w:rsidP="00A67F12">
            <w:pPr>
              <w:pStyle w:val="Tabletext"/>
            </w:pPr>
            <w:r>
              <w:t>5</w:t>
            </w:r>
          </w:p>
        </w:tc>
      </w:tr>
      <w:tr w:rsidR="007A187E" w:rsidRPr="00A40A2D" w:rsidTr="006B074C">
        <w:tc>
          <w:tcPr>
            <w:tcW w:w="714" w:type="dxa"/>
            <w:shd w:val="clear" w:color="auto" w:fill="auto"/>
          </w:tcPr>
          <w:p w:rsidR="007A187E" w:rsidRDefault="006B074C" w:rsidP="00A67F12">
            <w:pPr>
              <w:pStyle w:val="Tabletext"/>
            </w:pPr>
            <w:r>
              <w:t>3</w:t>
            </w:r>
          </w:p>
        </w:tc>
        <w:tc>
          <w:tcPr>
            <w:tcW w:w="6652" w:type="dxa"/>
            <w:shd w:val="clear" w:color="auto" w:fill="auto"/>
          </w:tcPr>
          <w:p w:rsidR="007A187E" w:rsidRPr="003217A4" w:rsidRDefault="007A187E" w:rsidP="00A67F12">
            <w:pPr>
              <w:pStyle w:val="Tabletext"/>
            </w:pPr>
            <w:r>
              <w:t>Change to spelling</w:t>
            </w:r>
          </w:p>
        </w:tc>
        <w:tc>
          <w:tcPr>
            <w:tcW w:w="1660" w:type="dxa"/>
            <w:shd w:val="clear" w:color="auto" w:fill="auto"/>
          </w:tcPr>
          <w:p w:rsidR="007A187E" w:rsidRDefault="00387B40" w:rsidP="00A67F12">
            <w:pPr>
              <w:pStyle w:val="Tabletext"/>
            </w:pPr>
            <w:r>
              <w:t>2</w:t>
            </w:r>
          </w:p>
        </w:tc>
      </w:tr>
      <w:tr w:rsidR="00C154FF" w:rsidRPr="00A40A2D" w:rsidTr="006B074C">
        <w:tc>
          <w:tcPr>
            <w:tcW w:w="714" w:type="dxa"/>
            <w:tcBorders>
              <w:bottom w:val="single" w:sz="2" w:space="0" w:color="auto"/>
            </w:tcBorders>
            <w:shd w:val="clear" w:color="auto" w:fill="auto"/>
          </w:tcPr>
          <w:p w:rsidR="00C154FF" w:rsidRDefault="00C154FF" w:rsidP="00A67F12">
            <w:pPr>
              <w:pStyle w:val="Tabletext"/>
            </w:pPr>
            <w:r>
              <w:t>4</w:t>
            </w:r>
          </w:p>
        </w:tc>
        <w:tc>
          <w:tcPr>
            <w:tcW w:w="6652" w:type="dxa"/>
            <w:tcBorders>
              <w:bottom w:val="single" w:sz="2" w:space="0" w:color="auto"/>
            </w:tcBorders>
            <w:shd w:val="clear" w:color="auto" w:fill="auto"/>
          </w:tcPr>
          <w:p w:rsidR="00C154FF" w:rsidRPr="00E25D47" w:rsidRDefault="00C154FF" w:rsidP="00A67F12">
            <w:pPr>
              <w:pStyle w:val="Tabletext"/>
            </w:pPr>
            <w:r w:rsidRPr="00C154FF">
              <w:t>Change to typeface</w:t>
            </w:r>
          </w:p>
        </w:tc>
        <w:tc>
          <w:tcPr>
            <w:tcW w:w="1660" w:type="dxa"/>
            <w:tcBorders>
              <w:bottom w:val="single" w:sz="2" w:space="0" w:color="auto"/>
            </w:tcBorders>
            <w:shd w:val="clear" w:color="auto" w:fill="auto"/>
          </w:tcPr>
          <w:p w:rsidR="00C154FF" w:rsidRDefault="006B42A2" w:rsidP="00A67F12">
            <w:pPr>
              <w:pStyle w:val="Tabletext"/>
            </w:pPr>
            <w:r>
              <w:t>7</w:t>
            </w:r>
          </w:p>
        </w:tc>
      </w:tr>
      <w:tr w:rsidR="003B5738" w:rsidRPr="00A40A2D" w:rsidTr="006B074C">
        <w:tc>
          <w:tcPr>
            <w:tcW w:w="714" w:type="dxa"/>
            <w:tcBorders>
              <w:bottom w:val="single" w:sz="2" w:space="0" w:color="auto"/>
            </w:tcBorders>
            <w:shd w:val="clear" w:color="auto" w:fill="auto"/>
          </w:tcPr>
          <w:p w:rsidR="003B5738" w:rsidRDefault="00C154FF" w:rsidP="00A67F12">
            <w:pPr>
              <w:pStyle w:val="Tabletext"/>
            </w:pPr>
            <w:r>
              <w:t>5</w:t>
            </w:r>
          </w:p>
        </w:tc>
        <w:tc>
          <w:tcPr>
            <w:tcW w:w="6652" w:type="dxa"/>
            <w:tcBorders>
              <w:bottom w:val="single" w:sz="2" w:space="0" w:color="auto"/>
            </w:tcBorders>
            <w:shd w:val="clear" w:color="auto" w:fill="auto"/>
          </w:tcPr>
          <w:p w:rsidR="003B5738" w:rsidRPr="003217A4" w:rsidRDefault="003B5738" w:rsidP="00A67F12">
            <w:pPr>
              <w:pStyle w:val="Tabletext"/>
            </w:pPr>
            <w:r w:rsidRPr="00E25D47">
              <w:t>Correct a typographical error</w:t>
            </w:r>
          </w:p>
        </w:tc>
        <w:tc>
          <w:tcPr>
            <w:tcW w:w="1660" w:type="dxa"/>
            <w:tcBorders>
              <w:bottom w:val="single" w:sz="2" w:space="0" w:color="auto"/>
            </w:tcBorders>
            <w:shd w:val="clear" w:color="auto" w:fill="auto"/>
          </w:tcPr>
          <w:p w:rsidR="003B5738" w:rsidRDefault="00456A4E" w:rsidP="00A67F12">
            <w:pPr>
              <w:pStyle w:val="Tabletext"/>
            </w:pPr>
            <w:r>
              <w:t>10</w:t>
            </w:r>
          </w:p>
        </w:tc>
      </w:tr>
      <w:tr w:rsidR="00A67F12" w:rsidRPr="00A40A2D" w:rsidTr="007F4ABB">
        <w:tc>
          <w:tcPr>
            <w:tcW w:w="714" w:type="dxa"/>
            <w:tcBorders>
              <w:top w:val="single" w:sz="2" w:space="0" w:color="auto"/>
              <w:bottom w:val="single" w:sz="2" w:space="0" w:color="auto"/>
            </w:tcBorders>
            <w:shd w:val="clear" w:color="auto" w:fill="auto"/>
          </w:tcPr>
          <w:p w:rsidR="00A67F12" w:rsidRDefault="00C154FF" w:rsidP="00A67F12">
            <w:pPr>
              <w:pStyle w:val="Tabletext"/>
            </w:pPr>
            <w:r>
              <w:t>6</w:t>
            </w:r>
          </w:p>
        </w:tc>
        <w:tc>
          <w:tcPr>
            <w:tcW w:w="6652" w:type="dxa"/>
            <w:tcBorders>
              <w:top w:val="single" w:sz="2" w:space="0" w:color="auto"/>
              <w:bottom w:val="single" w:sz="2" w:space="0" w:color="auto"/>
            </w:tcBorders>
            <w:shd w:val="clear" w:color="auto" w:fill="auto"/>
          </w:tcPr>
          <w:p w:rsidR="00A67F12" w:rsidRDefault="00CF6693" w:rsidP="00A67F12">
            <w:pPr>
              <w:pStyle w:val="Tabletext"/>
            </w:pPr>
            <w:r w:rsidRPr="003217A4">
              <w:t>Give effect to the misdescribed amendment as intended</w:t>
            </w:r>
          </w:p>
        </w:tc>
        <w:tc>
          <w:tcPr>
            <w:tcW w:w="1660" w:type="dxa"/>
            <w:tcBorders>
              <w:top w:val="single" w:sz="2" w:space="0" w:color="auto"/>
              <w:bottom w:val="single" w:sz="2" w:space="0" w:color="auto"/>
            </w:tcBorders>
            <w:shd w:val="clear" w:color="auto" w:fill="auto"/>
          </w:tcPr>
          <w:p w:rsidR="00A67F12" w:rsidRDefault="007B7102" w:rsidP="00A67F12">
            <w:pPr>
              <w:pStyle w:val="Tabletext"/>
            </w:pPr>
            <w:r>
              <w:t>9</w:t>
            </w:r>
          </w:p>
        </w:tc>
      </w:tr>
      <w:tr w:rsidR="007F4ABB" w:rsidRPr="00A40A2D" w:rsidTr="003A1E6E">
        <w:tc>
          <w:tcPr>
            <w:tcW w:w="714" w:type="dxa"/>
            <w:tcBorders>
              <w:top w:val="single" w:sz="2" w:space="0" w:color="auto"/>
              <w:bottom w:val="single" w:sz="2" w:space="0" w:color="auto"/>
            </w:tcBorders>
            <w:shd w:val="clear" w:color="auto" w:fill="auto"/>
          </w:tcPr>
          <w:p w:rsidR="007F4ABB" w:rsidRDefault="00C154FF" w:rsidP="00A67F12">
            <w:pPr>
              <w:pStyle w:val="Tabletext"/>
            </w:pPr>
            <w:r>
              <w:t>7</w:t>
            </w:r>
          </w:p>
        </w:tc>
        <w:tc>
          <w:tcPr>
            <w:tcW w:w="6652" w:type="dxa"/>
            <w:tcBorders>
              <w:top w:val="single" w:sz="2" w:space="0" w:color="auto"/>
              <w:bottom w:val="single" w:sz="2" w:space="0" w:color="auto"/>
            </w:tcBorders>
            <w:shd w:val="clear" w:color="auto" w:fill="auto"/>
          </w:tcPr>
          <w:p w:rsidR="007F4ABB" w:rsidRPr="003217A4" w:rsidRDefault="007F4ABB" w:rsidP="00A67F12">
            <w:pPr>
              <w:pStyle w:val="Tabletext"/>
            </w:pPr>
            <w:r w:rsidRPr="007F4ABB">
              <w:t>Removal of redundant text</w:t>
            </w:r>
          </w:p>
        </w:tc>
        <w:tc>
          <w:tcPr>
            <w:tcW w:w="1660" w:type="dxa"/>
            <w:tcBorders>
              <w:top w:val="single" w:sz="2" w:space="0" w:color="auto"/>
              <w:bottom w:val="single" w:sz="2" w:space="0" w:color="auto"/>
            </w:tcBorders>
            <w:shd w:val="clear" w:color="auto" w:fill="auto"/>
          </w:tcPr>
          <w:p w:rsidR="007F4ABB" w:rsidRDefault="007376F8" w:rsidP="00A67F12">
            <w:pPr>
              <w:pStyle w:val="Tabletext"/>
            </w:pPr>
            <w:r>
              <w:t>7</w:t>
            </w:r>
          </w:p>
        </w:tc>
      </w:tr>
      <w:tr w:rsidR="00257994" w:rsidRPr="00A40A2D" w:rsidTr="003A1E6E">
        <w:tc>
          <w:tcPr>
            <w:tcW w:w="714" w:type="dxa"/>
            <w:tcBorders>
              <w:top w:val="single" w:sz="2" w:space="0" w:color="auto"/>
              <w:bottom w:val="single" w:sz="2" w:space="0" w:color="auto"/>
            </w:tcBorders>
            <w:shd w:val="clear" w:color="auto" w:fill="auto"/>
          </w:tcPr>
          <w:p w:rsidR="00257994" w:rsidRDefault="00257994" w:rsidP="00A67F12">
            <w:pPr>
              <w:pStyle w:val="Tabletext"/>
            </w:pPr>
            <w:r>
              <w:t>8</w:t>
            </w:r>
          </w:p>
        </w:tc>
        <w:tc>
          <w:tcPr>
            <w:tcW w:w="6652" w:type="dxa"/>
            <w:tcBorders>
              <w:top w:val="single" w:sz="2" w:space="0" w:color="auto"/>
              <w:bottom w:val="single" w:sz="2" w:space="0" w:color="auto"/>
            </w:tcBorders>
            <w:shd w:val="clear" w:color="auto" w:fill="auto"/>
          </w:tcPr>
          <w:p w:rsidR="00257994" w:rsidRPr="007F4ABB" w:rsidRDefault="00257994" w:rsidP="00A67F12">
            <w:pPr>
              <w:pStyle w:val="Tabletext"/>
            </w:pPr>
            <w:r>
              <w:t>Reordering of provisions</w:t>
            </w:r>
          </w:p>
        </w:tc>
        <w:tc>
          <w:tcPr>
            <w:tcW w:w="1660" w:type="dxa"/>
            <w:tcBorders>
              <w:top w:val="single" w:sz="2" w:space="0" w:color="auto"/>
              <w:bottom w:val="single" w:sz="2" w:space="0" w:color="auto"/>
            </w:tcBorders>
            <w:shd w:val="clear" w:color="auto" w:fill="auto"/>
          </w:tcPr>
          <w:p w:rsidR="00257994" w:rsidRDefault="00257994" w:rsidP="00A67F12">
            <w:pPr>
              <w:pStyle w:val="Tabletext"/>
            </w:pPr>
            <w:r>
              <w:t>1</w:t>
            </w:r>
          </w:p>
        </w:tc>
      </w:tr>
      <w:tr w:rsidR="003A1E6E" w:rsidRPr="00A40A2D" w:rsidTr="006B074C">
        <w:tc>
          <w:tcPr>
            <w:tcW w:w="714" w:type="dxa"/>
            <w:tcBorders>
              <w:top w:val="single" w:sz="2" w:space="0" w:color="auto"/>
              <w:bottom w:val="single" w:sz="12" w:space="0" w:color="auto"/>
            </w:tcBorders>
            <w:shd w:val="clear" w:color="auto" w:fill="auto"/>
          </w:tcPr>
          <w:p w:rsidR="003A1E6E" w:rsidRDefault="00257994" w:rsidP="00A67F12">
            <w:pPr>
              <w:pStyle w:val="Tabletext"/>
            </w:pPr>
            <w:r>
              <w:t>9</w:t>
            </w:r>
          </w:p>
        </w:tc>
        <w:tc>
          <w:tcPr>
            <w:tcW w:w="6652" w:type="dxa"/>
            <w:tcBorders>
              <w:top w:val="single" w:sz="2" w:space="0" w:color="auto"/>
              <w:bottom w:val="single" w:sz="12" w:space="0" w:color="auto"/>
            </w:tcBorders>
            <w:shd w:val="clear" w:color="auto" w:fill="auto"/>
          </w:tcPr>
          <w:p w:rsidR="003A1E6E" w:rsidRPr="007F4ABB" w:rsidRDefault="003A1E6E" w:rsidP="00A67F12">
            <w:pPr>
              <w:pStyle w:val="Tabletext"/>
            </w:pPr>
            <w:r w:rsidRPr="003A1E6E">
              <w:t>Update to reference of a law or a provision</w:t>
            </w:r>
          </w:p>
        </w:tc>
        <w:tc>
          <w:tcPr>
            <w:tcW w:w="1660" w:type="dxa"/>
            <w:tcBorders>
              <w:top w:val="single" w:sz="2" w:space="0" w:color="auto"/>
              <w:bottom w:val="single" w:sz="12" w:space="0" w:color="auto"/>
            </w:tcBorders>
            <w:shd w:val="clear" w:color="auto" w:fill="auto"/>
          </w:tcPr>
          <w:p w:rsidR="003A1E6E" w:rsidRDefault="003A1E6E" w:rsidP="00A67F12">
            <w:pPr>
              <w:pStyle w:val="Tabletext"/>
            </w:pPr>
            <w:r>
              <w:t>1</w:t>
            </w:r>
          </w:p>
        </w:tc>
      </w:tr>
    </w:tbl>
    <w:p w:rsidR="00B5713E" w:rsidRDefault="00B5713E" w:rsidP="00B5713E">
      <w:pPr>
        <w:pStyle w:val="Tabletext"/>
      </w:pPr>
    </w:p>
    <w:p w:rsidR="00B5713E" w:rsidRDefault="00B5713E" w:rsidP="00B5713E">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B5713E" w:rsidRDefault="00B5713E" w:rsidP="00B5713E">
      <w:pPr>
        <w:pStyle w:val="BodyNum"/>
      </w:pPr>
      <w:r>
        <w:t>Complete details of each use of the power within a compilation appears below:</w:t>
      </w:r>
    </w:p>
    <w:p w:rsidR="007B7102" w:rsidRDefault="007B7102" w:rsidP="00E64E89">
      <w:pPr>
        <w:pStyle w:val="Head2"/>
      </w:pPr>
      <w:r w:rsidRPr="003914F9">
        <w:t>Therapeutic Goods Act 1989</w:t>
      </w:r>
      <w:r>
        <w:t>, Compilation No. 67, Registration Date: 30 June 2017</w:t>
      </w:r>
    </w:p>
    <w:p w:rsidR="007B7102" w:rsidRDefault="007B7102" w:rsidP="007B7102">
      <w:pPr>
        <w:rPr>
          <w:b/>
        </w:rPr>
      </w:pPr>
    </w:p>
    <w:p w:rsidR="007B7102" w:rsidRPr="009A7E50" w:rsidRDefault="007B7102" w:rsidP="007B7102">
      <w:pPr>
        <w:rPr>
          <w:b/>
          <w:sz w:val="24"/>
          <w:szCs w:val="24"/>
        </w:rPr>
      </w:pPr>
      <w:r w:rsidRPr="009A7E50">
        <w:rPr>
          <w:b/>
          <w:sz w:val="24"/>
          <w:szCs w:val="24"/>
        </w:rPr>
        <w:t>Subparagraph 28(5)(a)(i)</w:t>
      </w:r>
    </w:p>
    <w:p w:rsidR="007B7102" w:rsidRPr="004549F1" w:rsidRDefault="007B7102" w:rsidP="007B7102">
      <w:pPr>
        <w:rPr>
          <w:b/>
        </w:rPr>
      </w:pPr>
    </w:p>
    <w:p w:rsidR="007B7102" w:rsidRPr="00354033" w:rsidRDefault="007B7102" w:rsidP="007B7102">
      <w:pPr>
        <w:rPr>
          <w:b/>
          <w:sz w:val="24"/>
          <w:szCs w:val="24"/>
        </w:rPr>
      </w:pPr>
      <w:r w:rsidRPr="00354033">
        <w:rPr>
          <w:b/>
          <w:sz w:val="24"/>
          <w:szCs w:val="24"/>
        </w:rPr>
        <w:t>Kind of editorial change</w:t>
      </w:r>
    </w:p>
    <w:p w:rsidR="007B7102" w:rsidRDefault="007B7102" w:rsidP="007B7102"/>
    <w:p w:rsidR="007B7102" w:rsidRDefault="007B7102" w:rsidP="007B7102">
      <w:r w:rsidRPr="00E2562F">
        <w:t>Give effect to the misdescribed amendments as intended</w:t>
      </w:r>
    </w:p>
    <w:p w:rsidR="007B7102" w:rsidRPr="00354033" w:rsidRDefault="007B7102" w:rsidP="007B7102"/>
    <w:p w:rsidR="007B7102" w:rsidRPr="00354033" w:rsidRDefault="007B7102" w:rsidP="007B7102">
      <w:pPr>
        <w:rPr>
          <w:b/>
          <w:sz w:val="24"/>
          <w:szCs w:val="24"/>
        </w:rPr>
      </w:pPr>
      <w:r w:rsidRPr="00354033">
        <w:rPr>
          <w:b/>
          <w:sz w:val="24"/>
          <w:szCs w:val="24"/>
        </w:rPr>
        <w:t>Details of editorial change</w:t>
      </w:r>
    </w:p>
    <w:p w:rsidR="007B7102" w:rsidRPr="003621C9" w:rsidRDefault="007B7102" w:rsidP="007B7102"/>
    <w:p w:rsidR="007B7102" w:rsidRDefault="007B7102" w:rsidP="007B7102">
      <w:r w:rsidRPr="003A41E0">
        <w:t xml:space="preserve">Schedule </w:t>
      </w:r>
      <w:r>
        <w:t>8</w:t>
      </w:r>
      <w:r w:rsidRPr="003A41E0">
        <w:t xml:space="preserve"> item 1 of the </w:t>
      </w:r>
      <w:r w:rsidRPr="003A41E0">
        <w:rPr>
          <w:i/>
        </w:rPr>
        <w:t>Therapeutic Goods Amendment (2016 Measures No. 1) Act 2017</w:t>
      </w:r>
      <w:r w:rsidRPr="003A41E0">
        <w:t xml:space="preserve"> instructs to </w:t>
      </w:r>
      <w:r>
        <w:t>add</w:t>
      </w:r>
      <w:r w:rsidRPr="003A41E0">
        <w:t xml:space="preserve"> </w:t>
      </w:r>
      <w:r>
        <w:t xml:space="preserve">the following words </w:t>
      </w:r>
      <w:r w:rsidRPr="00C52DA9">
        <w:t>“, complies with record</w:t>
      </w:r>
      <w:r>
        <w:noBreakHyphen/>
      </w:r>
      <w:r w:rsidRPr="00C52DA9">
        <w:t>keeping requirements covered by paragraph (c) or (ca), or keeps documents that relate to the subject goods”</w:t>
      </w:r>
      <w:r>
        <w:t xml:space="preserve"> </w:t>
      </w:r>
      <w:r w:rsidRPr="003A41E0">
        <w:t xml:space="preserve">at the end of </w:t>
      </w:r>
      <w:r w:rsidRPr="00C52DA9">
        <w:t>subparagraph 28(5)(a)(i)</w:t>
      </w:r>
      <w:r w:rsidRPr="003A41E0">
        <w:t>.</w:t>
      </w:r>
    </w:p>
    <w:p w:rsidR="007B7102" w:rsidRDefault="007B7102" w:rsidP="007B7102"/>
    <w:p w:rsidR="007B7102" w:rsidRDefault="007B7102" w:rsidP="007B7102">
      <w:r w:rsidRPr="003A41E0">
        <w:t>However</w:t>
      </w:r>
      <w:r>
        <w:t>,</w:t>
      </w:r>
      <w:r w:rsidRPr="003A41E0">
        <w:t xml:space="preserve"> </w:t>
      </w:r>
      <w:r>
        <w:t xml:space="preserve">at the end of </w:t>
      </w:r>
      <w:r w:rsidRPr="00C52DA9">
        <w:t>subparagraph 28(5)(a)(i)</w:t>
      </w:r>
      <w:r>
        <w:t xml:space="preserve"> there is a semi-colon and the word “and”.</w:t>
      </w:r>
    </w:p>
    <w:p w:rsidR="007B7102" w:rsidRDefault="007B7102" w:rsidP="007B7102"/>
    <w:p w:rsidR="007B7102" w:rsidRDefault="007B7102" w:rsidP="007B7102">
      <w:r w:rsidRPr="003A41E0">
        <w:t xml:space="preserve">This compilation was editorially changed </w:t>
      </w:r>
      <w:r>
        <w:t xml:space="preserve">to insert the words </w:t>
      </w:r>
      <w:r w:rsidRPr="00C52DA9">
        <w:t>“, complies with record</w:t>
      </w:r>
      <w:r>
        <w:noBreakHyphen/>
      </w:r>
      <w:r w:rsidRPr="00C52DA9">
        <w:t>keeping requirements covered by paragraph (c) or (ca), or keeps documents that relate to the subject goods”</w:t>
      </w:r>
      <w:r>
        <w:t xml:space="preserve"> after the word “goods” </w:t>
      </w:r>
      <w:r w:rsidRPr="003A41E0">
        <w:t>and give effect to the misdescribed amendment as intended</w:t>
      </w:r>
      <w:r>
        <w:t>.</w:t>
      </w:r>
    </w:p>
    <w:p w:rsidR="00F037C6" w:rsidRDefault="00F037C6" w:rsidP="00E64E89">
      <w:pPr>
        <w:pStyle w:val="Head2"/>
      </w:pPr>
      <w:r w:rsidRPr="00935FFB">
        <w:t>Protection of the Sea (Prevention of Pollution from Ships) Act 1983</w:t>
      </w:r>
      <w:r>
        <w:t>, Compilation No. 38, Registration Date: 16 June 2017</w:t>
      </w:r>
    </w:p>
    <w:p w:rsidR="00F037C6" w:rsidRDefault="00F037C6" w:rsidP="00F037C6">
      <w:pPr>
        <w:rPr>
          <w:b/>
        </w:rPr>
      </w:pPr>
    </w:p>
    <w:p w:rsidR="00F037C6" w:rsidRPr="00935FFB" w:rsidRDefault="00F037C6" w:rsidP="00F037C6">
      <w:pPr>
        <w:rPr>
          <w:b/>
        </w:rPr>
      </w:pPr>
      <w:r w:rsidRPr="00935FFB">
        <w:rPr>
          <w:b/>
        </w:rPr>
        <w:t>Kind of editorial change</w:t>
      </w:r>
    </w:p>
    <w:p w:rsidR="00F037C6" w:rsidRPr="00935FFB" w:rsidRDefault="00F037C6" w:rsidP="00F037C6"/>
    <w:p w:rsidR="00F037C6" w:rsidRPr="00935FFB" w:rsidRDefault="00F037C6" w:rsidP="00F037C6">
      <w:r w:rsidRPr="00935FFB">
        <w:t>Change to typeface</w:t>
      </w:r>
    </w:p>
    <w:p w:rsidR="00F037C6" w:rsidRPr="00935FFB" w:rsidRDefault="00F037C6" w:rsidP="00F037C6"/>
    <w:p w:rsidR="00F037C6" w:rsidRPr="00935FFB" w:rsidRDefault="00F037C6" w:rsidP="00F037C6">
      <w:pPr>
        <w:rPr>
          <w:b/>
        </w:rPr>
      </w:pPr>
      <w:r w:rsidRPr="00935FFB">
        <w:rPr>
          <w:b/>
        </w:rPr>
        <w:t>Details of editorial change</w:t>
      </w:r>
    </w:p>
    <w:p w:rsidR="00F037C6" w:rsidRPr="009C16FB" w:rsidRDefault="00F037C6" w:rsidP="00F037C6"/>
    <w:p w:rsidR="00F037C6" w:rsidRPr="00F037C6" w:rsidRDefault="00F037C6" w:rsidP="00F037C6">
      <w:r w:rsidRPr="00935FFB">
        <w:t xml:space="preserve">This compilation was editorially changed to update all occurrences of the italicised words </w:t>
      </w:r>
      <w:r w:rsidRPr="00935FFB">
        <w:rPr>
          <w:i/>
        </w:rPr>
        <w:t>en route</w:t>
      </w:r>
      <w:r w:rsidRPr="00935FFB">
        <w:t xml:space="preserve"> and </w:t>
      </w:r>
      <w:r w:rsidRPr="00935FFB">
        <w:rPr>
          <w:i/>
        </w:rPr>
        <w:t>prima facie</w:t>
      </w:r>
      <w:r w:rsidRPr="00935FFB">
        <w:t xml:space="preserve"> to regular font.</w:t>
      </w:r>
    </w:p>
    <w:p w:rsidR="00387B40" w:rsidRDefault="00387B40" w:rsidP="00E64E89">
      <w:pPr>
        <w:pStyle w:val="Head2"/>
      </w:pPr>
      <w:r w:rsidRPr="00B146AB">
        <w:t>Therapeutic Goods Regulations</w:t>
      </w:r>
      <w:r>
        <w:t> </w:t>
      </w:r>
      <w:r w:rsidRPr="00B146AB">
        <w:t>1990</w:t>
      </w:r>
      <w:r>
        <w:t>, Compilation No. 76, Registration Date: 15 June 2017</w:t>
      </w:r>
    </w:p>
    <w:p w:rsidR="00387B40" w:rsidRDefault="00387B40" w:rsidP="00387B40">
      <w:pPr>
        <w:rPr>
          <w:b/>
          <w:sz w:val="24"/>
          <w:szCs w:val="24"/>
        </w:rPr>
      </w:pPr>
    </w:p>
    <w:p w:rsidR="00387B40" w:rsidRPr="00B146AB" w:rsidRDefault="00387B40" w:rsidP="00387B40">
      <w:pPr>
        <w:rPr>
          <w:b/>
          <w:sz w:val="24"/>
          <w:szCs w:val="24"/>
        </w:rPr>
      </w:pPr>
      <w:r w:rsidRPr="00B146AB">
        <w:rPr>
          <w:b/>
          <w:sz w:val="24"/>
          <w:szCs w:val="24"/>
        </w:rPr>
        <w:t>Schedule</w:t>
      </w:r>
      <w:r>
        <w:rPr>
          <w:b/>
          <w:sz w:val="24"/>
          <w:szCs w:val="24"/>
        </w:rPr>
        <w:t> </w:t>
      </w:r>
      <w:r w:rsidRPr="00B146AB">
        <w:rPr>
          <w:b/>
          <w:sz w:val="24"/>
          <w:szCs w:val="24"/>
        </w:rPr>
        <w:t>5 (table item</w:t>
      </w:r>
      <w:r>
        <w:rPr>
          <w:b/>
          <w:sz w:val="24"/>
          <w:szCs w:val="24"/>
        </w:rPr>
        <w:t> </w:t>
      </w:r>
      <w:r w:rsidRPr="00B146AB">
        <w:rPr>
          <w:b/>
          <w:sz w:val="24"/>
          <w:szCs w:val="24"/>
        </w:rPr>
        <w:t xml:space="preserve">8, column 2, </w:t>
      </w:r>
      <w:r>
        <w:rPr>
          <w:b/>
          <w:sz w:val="24"/>
          <w:szCs w:val="24"/>
        </w:rPr>
        <w:t>paragraph (</w:t>
      </w:r>
      <w:r w:rsidRPr="00B146AB">
        <w:rPr>
          <w:b/>
          <w:sz w:val="24"/>
          <w:szCs w:val="24"/>
        </w:rPr>
        <w:t>d))</w:t>
      </w:r>
    </w:p>
    <w:p w:rsidR="00387B40" w:rsidRPr="00B146AB" w:rsidRDefault="00387B40" w:rsidP="00387B40"/>
    <w:p w:rsidR="00387B40" w:rsidRPr="00B146AB" w:rsidRDefault="00387B40" w:rsidP="00387B40">
      <w:pPr>
        <w:rPr>
          <w:b/>
        </w:rPr>
      </w:pPr>
      <w:r w:rsidRPr="00B146AB">
        <w:rPr>
          <w:b/>
        </w:rPr>
        <w:t>Kind of editorial change</w:t>
      </w:r>
    </w:p>
    <w:p w:rsidR="00387B40" w:rsidRPr="00B146AB" w:rsidRDefault="00387B40" w:rsidP="00387B40"/>
    <w:p w:rsidR="00387B40" w:rsidRPr="00B146AB" w:rsidRDefault="00387B40" w:rsidP="00387B40">
      <w:r w:rsidRPr="00B146AB">
        <w:t>Change to spelling</w:t>
      </w:r>
    </w:p>
    <w:p w:rsidR="00387B40" w:rsidRPr="00B146AB" w:rsidRDefault="00387B40" w:rsidP="00387B40"/>
    <w:p w:rsidR="00387B40" w:rsidRPr="00B146AB" w:rsidRDefault="00387B40" w:rsidP="00387B40">
      <w:pPr>
        <w:rPr>
          <w:b/>
        </w:rPr>
      </w:pPr>
      <w:r w:rsidRPr="00B146AB">
        <w:rPr>
          <w:b/>
        </w:rPr>
        <w:t>Details of editorial change</w:t>
      </w:r>
    </w:p>
    <w:p w:rsidR="00387B40" w:rsidRPr="00B146AB" w:rsidRDefault="00387B40" w:rsidP="00387B40"/>
    <w:p w:rsidR="00387B40" w:rsidRPr="00B146AB" w:rsidRDefault="00387B40" w:rsidP="00387B40">
      <w:r w:rsidRPr="00B146AB">
        <w:rPr>
          <w:szCs w:val="22"/>
        </w:rPr>
        <w:t>Schedule</w:t>
      </w:r>
      <w:r>
        <w:rPr>
          <w:szCs w:val="22"/>
        </w:rPr>
        <w:t> </w:t>
      </w:r>
      <w:r w:rsidRPr="00B146AB">
        <w:rPr>
          <w:szCs w:val="22"/>
        </w:rPr>
        <w:t>5 (table item</w:t>
      </w:r>
      <w:r>
        <w:rPr>
          <w:szCs w:val="22"/>
        </w:rPr>
        <w:t> </w:t>
      </w:r>
      <w:r w:rsidRPr="00B146AB">
        <w:rPr>
          <w:szCs w:val="22"/>
        </w:rPr>
        <w:t xml:space="preserve">8, column 2, </w:t>
      </w:r>
      <w:r>
        <w:rPr>
          <w:szCs w:val="22"/>
        </w:rPr>
        <w:t>paragraph (</w:t>
      </w:r>
      <w:r w:rsidRPr="00B146AB">
        <w:rPr>
          <w:szCs w:val="22"/>
        </w:rPr>
        <w:t>d)) refers to “repellants” rather than</w:t>
      </w:r>
      <w:r w:rsidRPr="00B146AB">
        <w:t xml:space="preserve"> “repellents”.</w:t>
      </w:r>
    </w:p>
    <w:p w:rsidR="00387B40" w:rsidRPr="00B146AB" w:rsidRDefault="00387B40" w:rsidP="00387B40"/>
    <w:p w:rsidR="00387B40" w:rsidRPr="00B146AB" w:rsidRDefault="00387B40" w:rsidP="00387B40">
      <w:r w:rsidRPr="00B146AB">
        <w:t>This compilation was editorially changed to correct the spelling to “repellents”.</w:t>
      </w:r>
    </w:p>
    <w:p w:rsidR="00A20653" w:rsidRDefault="00A20653" w:rsidP="00E64E89">
      <w:pPr>
        <w:pStyle w:val="Head2"/>
      </w:pPr>
      <w:r w:rsidRPr="00836BF6">
        <w:t>Telecommunications (Interception and Access) Act 1979</w:t>
      </w:r>
      <w:r>
        <w:t>, Compilation No. 93, Registration Date: 7 June 2017</w:t>
      </w:r>
    </w:p>
    <w:p w:rsidR="00A20653" w:rsidRDefault="00A20653" w:rsidP="00A20653">
      <w:pPr>
        <w:rPr>
          <w:b/>
        </w:rPr>
      </w:pPr>
    </w:p>
    <w:p w:rsidR="00A20653" w:rsidRPr="00836BF6" w:rsidRDefault="00A20653" w:rsidP="00A20653">
      <w:pPr>
        <w:rPr>
          <w:b/>
        </w:rPr>
      </w:pPr>
      <w:r w:rsidRPr="00836BF6">
        <w:rPr>
          <w:b/>
        </w:rPr>
        <w:t>Kind of editorial change</w:t>
      </w:r>
    </w:p>
    <w:p w:rsidR="00A20653" w:rsidRPr="00836BF6" w:rsidRDefault="00A20653" w:rsidP="00A20653"/>
    <w:p w:rsidR="00A20653" w:rsidRPr="00836BF6" w:rsidRDefault="00A20653" w:rsidP="00A20653">
      <w:r w:rsidRPr="00836BF6">
        <w:t>Change to typeface</w:t>
      </w:r>
    </w:p>
    <w:p w:rsidR="00A20653" w:rsidRPr="00836BF6" w:rsidRDefault="00A20653" w:rsidP="00A20653"/>
    <w:p w:rsidR="00A20653" w:rsidRPr="00836BF6" w:rsidRDefault="00A20653" w:rsidP="00A20653">
      <w:pPr>
        <w:rPr>
          <w:b/>
        </w:rPr>
      </w:pPr>
      <w:r w:rsidRPr="00836BF6">
        <w:rPr>
          <w:b/>
        </w:rPr>
        <w:t>Details of editorial change</w:t>
      </w:r>
    </w:p>
    <w:p w:rsidR="00A20653" w:rsidRPr="00836BF6" w:rsidRDefault="00A20653" w:rsidP="00A20653">
      <w:pPr>
        <w:rPr>
          <w:b/>
        </w:rPr>
      </w:pPr>
    </w:p>
    <w:p w:rsidR="00A20653" w:rsidRPr="00A20653" w:rsidRDefault="00A20653" w:rsidP="00A20653">
      <w:r w:rsidRPr="00836BF6">
        <w:t xml:space="preserve">This compilation was editorially changed to update all occurrences of the italicised words </w:t>
      </w:r>
      <w:r w:rsidRPr="00836BF6">
        <w:rPr>
          <w:i/>
        </w:rPr>
        <w:t>prima facie</w:t>
      </w:r>
      <w:r w:rsidRPr="00836BF6">
        <w:t xml:space="preserve"> to regular font.</w:t>
      </w:r>
    </w:p>
    <w:p w:rsidR="00C94257" w:rsidRDefault="00C94257" w:rsidP="00C13DAD">
      <w:pPr>
        <w:pStyle w:val="Head2"/>
      </w:pPr>
      <w:r>
        <w:lastRenderedPageBreak/>
        <w:t>National Health (Paraplegic and Quadriplegic Program) Special Arrangement 2010 (PB 118 of 2010)</w:t>
      </w:r>
      <w:r w:rsidR="00257994">
        <w:t>, Compilation No. 15, Registration Date: 6 June 2017</w:t>
      </w:r>
    </w:p>
    <w:p w:rsidR="00257994" w:rsidRDefault="00257994" w:rsidP="00C13DAD">
      <w:pPr>
        <w:keepNext/>
        <w:rPr>
          <w:b/>
          <w:sz w:val="24"/>
          <w:szCs w:val="24"/>
        </w:rPr>
      </w:pPr>
    </w:p>
    <w:p w:rsidR="00257994" w:rsidRPr="004549F1" w:rsidRDefault="00257994" w:rsidP="00257994">
      <w:pPr>
        <w:rPr>
          <w:b/>
          <w:sz w:val="24"/>
          <w:szCs w:val="24"/>
        </w:rPr>
      </w:pPr>
      <w:r>
        <w:rPr>
          <w:b/>
          <w:sz w:val="24"/>
          <w:szCs w:val="24"/>
        </w:rPr>
        <w:t>Schedule 2</w:t>
      </w:r>
    </w:p>
    <w:p w:rsidR="00257994" w:rsidRPr="004549F1" w:rsidRDefault="00257994" w:rsidP="00257994">
      <w:pPr>
        <w:rPr>
          <w:b/>
        </w:rPr>
      </w:pPr>
    </w:p>
    <w:p w:rsidR="00257994" w:rsidRPr="004549F1" w:rsidRDefault="00257994" w:rsidP="00257994">
      <w:pPr>
        <w:rPr>
          <w:b/>
        </w:rPr>
      </w:pPr>
      <w:r w:rsidRPr="004549F1">
        <w:rPr>
          <w:b/>
        </w:rPr>
        <w:t>Kind of editorial change</w:t>
      </w:r>
    </w:p>
    <w:p w:rsidR="00257994" w:rsidRPr="004549F1" w:rsidRDefault="00257994" w:rsidP="00257994"/>
    <w:p w:rsidR="00257994" w:rsidRDefault="00257994" w:rsidP="00257994">
      <w:r>
        <w:t>Reordering of provisions</w:t>
      </w:r>
    </w:p>
    <w:p w:rsidR="00257994" w:rsidRPr="004549F1" w:rsidRDefault="00257994" w:rsidP="00257994"/>
    <w:p w:rsidR="00257994" w:rsidRPr="004549F1" w:rsidRDefault="00257994" w:rsidP="00257994">
      <w:pPr>
        <w:rPr>
          <w:b/>
        </w:rPr>
      </w:pPr>
      <w:r w:rsidRPr="004549F1">
        <w:rPr>
          <w:b/>
        </w:rPr>
        <w:t>Details of editorial change</w:t>
      </w:r>
    </w:p>
    <w:p w:rsidR="00257994" w:rsidRPr="004549F1" w:rsidRDefault="00257994" w:rsidP="00257994">
      <w:pPr>
        <w:rPr>
          <w:b/>
        </w:rPr>
      </w:pPr>
    </w:p>
    <w:p w:rsidR="00257994" w:rsidRDefault="00257994" w:rsidP="00257994">
      <w:r>
        <w:t xml:space="preserve">Schedule 1 item [2] of the </w:t>
      </w:r>
      <w:r>
        <w:rPr>
          <w:i/>
        </w:rPr>
        <w:t>National Health (Paraplegic and Quadriplegic Program) Special Arrangement Amendment Instrument 2017 (No 2)</w:t>
      </w:r>
      <w:r>
        <w:t xml:space="preserve"> instructs as follows:</w:t>
      </w:r>
    </w:p>
    <w:p w:rsidR="00257994" w:rsidRDefault="00257994" w:rsidP="00257994"/>
    <w:p w:rsidR="00257994" w:rsidRPr="00811AEF" w:rsidRDefault="00257994" w:rsidP="00257994">
      <w:pPr>
        <w:pStyle w:val="HR"/>
        <w:spacing w:before="120" w:after="120"/>
        <w:rPr>
          <w:rFonts w:cs="Arial"/>
        </w:rPr>
      </w:pPr>
      <w:r w:rsidRPr="00811AEF">
        <w:rPr>
          <w:rFonts w:cs="Arial"/>
        </w:rPr>
        <w:t>[</w:t>
      </w:r>
      <w:r>
        <w:rPr>
          <w:rFonts w:cs="Arial"/>
        </w:rPr>
        <w:t>2</w:t>
      </w:r>
      <w:r w:rsidRPr="00811AEF">
        <w:rPr>
          <w:rFonts w:cs="Arial"/>
        </w:rPr>
        <w:t>]</w:t>
      </w:r>
      <w:r w:rsidRPr="00811AEF">
        <w:rPr>
          <w:rFonts w:cs="Arial"/>
        </w:rPr>
        <w:tab/>
        <w:t>Schedule 2</w:t>
      </w:r>
    </w:p>
    <w:p w:rsidR="00257994" w:rsidRPr="00034D5D" w:rsidRDefault="00257994" w:rsidP="00257994">
      <w:pPr>
        <w:pStyle w:val="HR"/>
        <w:spacing w:before="120" w:after="120"/>
        <w:rPr>
          <w:rFonts w:cs="Arial"/>
          <w:i/>
          <w:sz w:val="22"/>
          <w:szCs w:val="22"/>
        </w:rPr>
      </w:pPr>
      <w:r w:rsidRPr="00034D5D">
        <w:rPr>
          <w:rFonts w:cs="Arial"/>
          <w:i/>
          <w:sz w:val="22"/>
          <w:szCs w:val="22"/>
        </w:rPr>
        <w:t xml:space="preserve">Insert, </w:t>
      </w:r>
      <w:r w:rsidRPr="00034D5D">
        <w:rPr>
          <w:rFonts w:cs="Arial"/>
          <w:sz w:val="22"/>
          <w:szCs w:val="22"/>
        </w:rPr>
        <w:t>after entry for AE</w:t>
      </w:r>
      <w:r w:rsidRPr="00034D5D">
        <w:rPr>
          <w:rFonts w:cs="Arial"/>
          <w:i/>
          <w:sz w:val="22"/>
          <w:szCs w:val="22"/>
        </w:rPr>
        <w:t>:</w:t>
      </w:r>
    </w:p>
    <w:p w:rsidR="00257994" w:rsidRPr="00811AEF" w:rsidRDefault="00257994" w:rsidP="00257994">
      <w:pPr>
        <w:rPr>
          <w:rFonts w:ascii="Arial" w:hAnsi="Arial" w:cs="Arial"/>
        </w:rPr>
      </w:pPr>
    </w:p>
    <w:tbl>
      <w:tblPr>
        <w:tblStyle w:val="TableGrid"/>
        <w:tblW w:w="0" w:type="auto"/>
        <w:tblLook w:val="04A0" w:firstRow="1" w:lastRow="0" w:firstColumn="1" w:lastColumn="0" w:noHBand="0" w:noVBand="1"/>
      </w:tblPr>
      <w:tblGrid>
        <w:gridCol w:w="2840"/>
        <w:gridCol w:w="3222"/>
        <w:gridCol w:w="2835"/>
      </w:tblGrid>
      <w:tr w:rsidR="00257994" w:rsidRPr="00811AEF" w:rsidTr="00257994">
        <w:tc>
          <w:tcPr>
            <w:tcW w:w="2840" w:type="dxa"/>
          </w:tcPr>
          <w:p w:rsidR="00257994" w:rsidRPr="00811AEF" w:rsidRDefault="00257994" w:rsidP="00257994">
            <w:pPr>
              <w:rPr>
                <w:rFonts w:ascii="Arial" w:hAnsi="Arial" w:cs="Arial"/>
              </w:rPr>
            </w:pPr>
            <w:r>
              <w:rPr>
                <w:rFonts w:ascii="Arial" w:hAnsi="Arial" w:cs="Arial"/>
              </w:rPr>
              <w:t>VZ</w:t>
            </w:r>
          </w:p>
        </w:tc>
        <w:tc>
          <w:tcPr>
            <w:tcW w:w="3222" w:type="dxa"/>
          </w:tcPr>
          <w:p w:rsidR="00257994" w:rsidRPr="00811AEF" w:rsidRDefault="00257994" w:rsidP="00257994">
            <w:pPr>
              <w:rPr>
                <w:rFonts w:ascii="Arial" w:hAnsi="Arial" w:cs="Arial"/>
              </w:rPr>
            </w:pPr>
            <w:r>
              <w:rPr>
                <w:rFonts w:ascii="Arial" w:hAnsi="Arial" w:cs="Arial"/>
              </w:rPr>
              <w:t>Sanofi-Aventis Australia Pty Ltd</w:t>
            </w:r>
          </w:p>
        </w:tc>
        <w:tc>
          <w:tcPr>
            <w:tcW w:w="2835" w:type="dxa"/>
          </w:tcPr>
          <w:p w:rsidR="00257994" w:rsidRPr="00811AEF" w:rsidRDefault="00257994" w:rsidP="00257994">
            <w:pPr>
              <w:rPr>
                <w:rFonts w:ascii="Arial" w:hAnsi="Arial" w:cs="Arial"/>
              </w:rPr>
            </w:pPr>
            <w:r>
              <w:rPr>
                <w:rFonts w:ascii="Arial" w:hAnsi="Arial" w:cs="Arial"/>
              </w:rPr>
              <w:t>31 008 558 807</w:t>
            </w:r>
          </w:p>
        </w:tc>
      </w:tr>
    </w:tbl>
    <w:p w:rsidR="00257994" w:rsidRDefault="00257994" w:rsidP="00257994"/>
    <w:p w:rsidR="00257994" w:rsidRDefault="00257994" w:rsidP="00257994">
      <w:r>
        <w:t>This would result in the entries for Schedule 2 being out of alphabetical order. However, inserting the entry for VZ after the entry for TX would mean the entries would be in order.</w:t>
      </w:r>
    </w:p>
    <w:p w:rsidR="00257994" w:rsidRDefault="00257994" w:rsidP="00257994"/>
    <w:p w:rsidR="00257994" w:rsidRPr="004549F1" w:rsidRDefault="00257994" w:rsidP="00257994">
      <w:r>
        <w:t>This compilation was editorially changed to reorder the provisions into alphabetical order by inserting the entry for VZ after the entry for TX.</w:t>
      </w:r>
    </w:p>
    <w:p w:rsidR="007376F8" w:rsidRDefault="007376F8" w:rsidP="00E64E89">
      <w:pPr>
        <w:pStyle w:val="Head2"/>
      </w:pPr>
      <w:r>
        <w:t>Social Security Act 1991, Compilation No. 156, Registration Date: 25 May 2017</w:t>
      </w:r>
    </w:p>
    <w:p w:rsidR="007376F8" w:rsidRDefault="007376F8" w:rsidP="007376F8"/>
    <w:p w:rsidR="007376F8" w:rsidRDefault="007376F8" w:rsidP="007376F8">
      <w:pPr>
        <w:rPr>
          <w:b/>
          <w:sz w:val="24"/>
          <w:szCs w:val="24"/>
        </w:rPr>
      </w:pPr>
      <w:r w:rsidRPr="00901CC6">
        <w:rPr>
          <w:b/>
          <w:sz w:val="24"/>
          <w:szCs w:val="24"/>
        </w:rPr>
        <w:t>S</w:t>
      </w:r>
      <w:r w:rsidR="00901CC6" w:rsidRPr="00901CC6">
        <w:rPr>
          <w:b/>
          <w:sz w:val="24"/>
          <w:szCs w:val="24"/>
        </w:rPr>
        <w:t>ubs</w:t>
      </w:r>
      <w:r w:rsidRPr="00901CC6">
        <w:rPr>
          <w:b/>
          <w:sz w:val="24"/>
          <w:szCs w:val="24"/>
        </w:rPr>
        <w:t>ection 601(1) (note 2)</w:t>
      </w:r>
    </w:p>
    <w:p w:rsidR="007376F8" w:rsidRDefault="007376F8" w:rsidP="007376F8">
      <w:pPr>
        <w:rPr>
          <w:b/>
        </w:rPr>
      </w:pPr>
    </w:p>
    <w:p w:rsidR="007376F8" w:rsidRDefault="007376F8" w:rsidP="007376F8">
      <w:pPr>
        <w:rPr>
          <w:b/>
        </w:rPr>
      </w:pPr>
      <w:r>
        <w:rPr>
          <w:b/>
        </w:rPr>
        <w:t>Kind of editorial change</w:t>
      </w:r>
    </w:p>
    <w:p w:rsidR="007376F8" w:rsidRDefault="007376F8" w:rsidP="007376F8"/>
    <w:p w:rsidR="007376F8" w:rsidRDefault="007376F8" w:rsidP="007376F8">
      <w:pPr>
        <w:rPr>
          <w:b/>
        </w:rPr>
      </w:pPr>
      <w:r>
        <w:t>Removal of redundant text</w:t>
      </w:r>
    </w:p>
    <w:p w:rsidR="007376F8" w:rsidRDefault="007376F8" w:rsidP="007376F8"/>
    <w:p w:rsidR="007376F8" w:rsidRDefault="007376F8" w:rsidP="007376F8">
      <w:pPr>
        <w:rPr>
          <w:b/>
        </w:rPr>
      </w:pPr>
      <w:r>
        <w:rPr>
          <w:b/>
        </w:rPr>
        <w:t>Details of editorial change</w:t>
      </w:r>
    </w:p>
    <w:p w:rsidR="007376F8" w:rsidRDefault="007376F8" w:rsidP="007376F8">
      <w:pPr>
        <w:rPr>
          <w:b/>
        </w:rPr>
      </w:pPr>
    </w:p>
    <w:p w:rsidR="007376F8" w:rsidRDefault="007376F8" w:rsidP="007376F8">
      <w:r>
        <w:t xml:space="preserve">Note 2 to subsection 601(1) refers to subsection (2B). However that provision was repealed by item 31 of Schedule 7 to the </w:t>
      </w:r>
      <w:r>
        <w:rPr>
          <w:i/>
        </w:rPr>
        <w:t>Employment and Workplace Relations Legislation Amendment (Welfare to Work and Other Measures) Act 2005</w:t>
      </w:r>
      <w:r>
        <w:t>.</w:t>
      </w:r>
    </w:p>
    <w:p w:rsidR="007376F8" w:rsidRDefault="007376F8" w:rsidP="007376F8"/>
    <w:p w:rsidR="007376F8" w:rsidRDefault="007376F8" w:rsidP="007376F8">
      <w:r>
        <w:t>This compilation was editorially changed to remove the redundant reference by replacing the wording in note 2 of subsection 601(1) with “Note 2:    See subsection (2A) on what paid work is unsuitable.”.</w:t>
      </w:r>
    </w:p>
    <w:p w:rsidR="00901CC6" w:rsidRDefault="00901CC6" w:rsidP="00C13DAD">
      <w:pPr>
        <w:pStyle w:val="Head2"/>
      </w:pPr>
      <w:r>
        <w:lastRenderedPageBreak/>
        <w:t>Veterans’ Entitlements Act 1986, Compilation No. 138, Registration Date: 25 May 2017</w:t>
      </w:r>
    </w:p>
    <w:p w:rsidR="00901CC6" w:rsidRDefault="00901CC6" w:rsidP="00C13DAD">
      <w:pPr>
        <w:keepNext/>
      </w:pPr>
    </w:p>
    <w:p w:rsidR="00901CC6" w:rsidRDefault="00901CC6" w:rsidP="00C13DAD">
      <w:pPr>
        <w:keepNext/>
        <w:rPr>
          <w:b/>
        </w:rPr>
      </w:pPr>
      <w:r>
        <w:rPr>
          <w:b/>
        </w:rPr>
        <w:t>Kind of editorial change</w:t>
      </w:r>
    </w:p>
    <w:p w:rsidR="00901CC6" w:rsidRDefault="00901CC6" w:rsidP="00901CC6"/>
    <w:p w:rsidR="00901CC6" w:rsidRDefault="00901CC6" w:rsidP="00901CC6">
      <w:r>
        <w:t>Change to typeface</w:t>
      </w:r>
    </w:p>
    <w:p w:rsidR="00901CC6" w:rsidRDefault="00901CC6" w:rsidP="00901CC6"/>
    <w:p w:rsidR="00901CC6" w:rsidRDefault="00901CC6" w:rsidP="00901CC6">
      <w:pPr>
        <w:rPr>
          <w:b/>
        </w:rPr>
      </w:pPr>
      <w:r>
        <w:rPr>
          <w:b/>
        </w:rPr>
        <w:t>Details of editorial change</w:t>
      </w:r>
    </w:p>
    <w:p w:rsidR="00901CC6" w:rsidRDefault="00901CC6" w:rsidP="00901CC6">
      <w:pPr>
        <w:rPr>
          <w:b/>
        </w:rPr>
      </w:pPr>
    </w:p>
    <w:p w:rsidR="00901CC6" w:rsidRDefault="00901CC6" w:rsidP="00901CC6">
      <w:r>
        <w:t xml:space="preserve">This compilation was editorially changed to update all occurrences of the italicised words </w:t>
      </w:r>
      <w:r>
        <w:rPr>
          <w:i/>
        </w:rPr>
        <w:t>prima facie</w:t>
      </w:r>
      <w:r>
        <w:t xml:space="preserve"> to regular font.</w:t>
      </w:r>
    </w:p>
    <w:p w:rsidR="00456A4E" w:rsidRDefault="00456A4E" w:rsidP="00E64E89">
      <w:pPr>
        <w:pStyle w:val="Head2"/>
      </w:pPr>
      <w:r w:rsidRPr="00146045">
        <w:t>Australian Human Rights Commission Act 1986</w:t>
      </w:r>
      <w:r>
        <w:t>, Compilation No. 45, Registration Date: 27 April 2017</w:t>
      </w:r>
    </w:p>
    <w:p w:rsidR="00456A4E" w:rsidRPr="00146045" w:rsidRDefault="00456A4E" w:rsidP="00456A4E"/>
    <w:p w:rsidR="00456A4E" w:rsidRPr="00146045" w:rsidRDefault="00456A4E" w:rsidP="00456A4E">
      <w:pPr>
        <w:rPr>
          <w:b/>
          <w:sz w:val="24"/>
          <w:szCs w:val="24"/>
        </w:rPr>
      </w:pPr>
      <w:r w:rsidRPr="00146045">
        <w:rPr>
          <w:b/>
          <w:sz w:val="24"/>
          <w:szCs w:val="24"/>
        </w:rPr>
        <w:t>Subsection</w:t>
      </w:r>
      <w:r>
        <w:rPr>
          <w:b/>
          <w:sz w:val="24"/>
          <w:szCs w:val="24"/>
        </w:rPr>
        <w:t> </w:t>
      </w:r>
      <w:r w:rsidRPr="00146045">
        <w:rPr>
          <w:b/>
          <w:sz w:val="24"/>
          <w:szCs w:val="24"/>
        </w:rPr>
        <w:t>36(9)</w:t>
      </w:r>
    </w:p>
    <w:p w:rsidR="00456A4E" w:rsidRPr="003A5503" w:rsidRDefault="00456A4E" w:rsidP="00456A4E"/>
    <w:p w:rsidR="00456A4E" w:rsidRPr="00146045" w:rsidRDefault="00456A4E" w:rsidP="00456A4E">
      <w:pPr>
        <w:rPr>
          <w:b/>
        </w:rPr>
      </w:pPr>
      <w:r w:rsidRPr="00146045">
        <w:rPr>
          <w:b/>
        </w:rPr>
        <w:t>Kind of editorial change</w:t>
      </w:r>
    </w:p>
    <w:p w:rsidR="00456A4E" w:rsidRPr="003A5503" w:rsidRDefault="00456A4E" w:rsidP="00456A4E"/>
    <w:p w:rsidR="00456A4E" w:rsidRPr="00146045" w:rsidRDefault="00456A4E" w:rsidP="00456A4E">
      <w:r w:rsidRPr="00146045">
        <w:t>Removal of redundant text</w:t>
      </w:r>
    </w:p>
    <w:p w:rsidR="00456A4E" w:rsidRPr="00146045" w:rsidRDefault="00456A4E" w:rsidP="00456A4E"/>
    <w:p w:rsidR="00456A4E" w:rsidRPr="00146045" w:rsidRDefault="00456A4E" w:rsidP="00456A4E">
      <w:pPr>
        <w:rPr>
          <w:b/>
        </w:rPr>
      </w:pPr>
      <w:r w:rsidRPr="00146045">
        <w:rPr>
          <w:b/>
        </w:rPr>
        <w:t>Details of editorial change</w:t>
      </w:r>
    </w:p>
    <w:p w:rsidR="00456A4E" w:rsidRPr="003A5503" w:rsidRDefault="00456A4E" w:rsidP="00456A4E"/>
    <w:p w:rsidR="00456A4E" w:rsidRPr="00146045" w:rsidRDefault="00456A4E" w:rsidP="00456A4E">
      <w:r w:rsidRPr="00146045">
        <w:t>Subsection</w:t>
      </w:r>
      <w:r>
        <w:t> </w:t>
      </w:r>
      <w:r w:rsidRPr="00146045">
        <w:t>36(9) contains a reference to section</w:t>
      </w:r>
      <w:r>
        <w:t> </w:t>
      </w:r>
      <w:r w:rsidRPr="00146045">
        <w:t xml:space="preserve">42 of the </w:t>
      </w:r>
      <w:r w:rsidRPr="00146045">
        <w:rPr>
          <w:i/>
        </w:rPr>
        <w:t>Australian Human Rights Commission Act 1986</w:t>
      </w:r>
      <w:r w:rsidRPr="00146045">
        <w:t>. However, that provision was repealed by item</w:t>
      </w:r>
      <w:r>
        <w:t> </w:t>
      </w:r>
      <w:r w:rsidRPr="00146045">
        <w:t>260 of Schedule</w:t>
      </w:r>
      <w:r>
        <w:t> </w:t>
      </w:r>
      <w:r w:rsidRPr="00146045">
        <w:t xml:space="preserve">7 to the </w:t>
      </w:r>
      <w:r w:rsidRPr="00146045">
        <w:rPr>
          <w:i/>
        </w:rPr>
        <w:t>Public Governance, Performance and Accountability (Consequential and Transitional Provisions) Act 2014</w:t>
      </w:r>
      <w:r w:rsidRPr="00146045">
        <w:t>.</w:t>
      </w:r>
    </w:p>
    <w:p w:rsidR="00456A4E" w:rsidRPr="00146045" w:rsidRDefault="00456A4E" w:rsidP="00456A4E"/>
    <w:p w:rsidR="00456A4E" w:rsidRDefault="00456A4E" w:rsidP="00456A4E">
      <w:r w:rsidRPr="00146045">
        <w:t>This compilation was editorially changed to omit the redundant “42,”.</w:t>
      </w:r>
    </w:p>
    <w:p w:rsidR="00456A4E" w:rsidRDefault="00456A4E" w:rsidP="00456A4E"/>
    <w:p w:rsidR="00456A4E" w:rsidRDefault="00456A4E" w:rsidP="00456A4E"/>
    <w:p w:rsidR="00456A4E" w:rsidRDefault="00456A4E" w:rsidP="00456A4E">
      <w:pPr>
        <w:rPr>
          <w:b/>
          <w:sz w:val="24"/>
          <w:szCs w:val="24"/>
          <w:lang w:eastAsia="en-AU"/>
        </w:rPr>
      </w:pPr>
      <w:r>
        <w:rPr>
          <w:b/>
          <w:sz w:val="24"/>
          <w:szCs w:val="24"/>
          <w:lang w:eastAsia="en-AU"/>
        </w:rPr>
        <w:t>Heading to Division 2 of Part IIAA</w:t>
      </w:r>
    </w:p>
    <w:p w:rsidR="00456A4E" w:rsidRPr="00F9179C" w:rsidRDefault="00456A4E" w:rsidP="00456A4E">
      <w:pPr>
        <w:rPr>
          <w:lang w:eastAsia="en-AU"/>
        </w:rPr>
      </w:pPr>
    </w:p>
    <w:p w:rsidR="00456A4E" w:rsidRPr="00F9179C" w:rsidRDefault="00456A4E" w:rsidP="00456A4E">
      <w:pPr>
        <w:rPr>
          <w:b/>
          <w:lang w:eastAsia="en-AU"/>
        </w:rPr>
      </w:pPr>
      <w:r w:rsidRPr="00F9179C">
        <w:rPr>
          <w:b/>
          <w:lang w:eastAsia="en-AU"/>
        </w:rPr>
        <w:t>Kind of editorial change</w:t>
      </w:r>
    </w:p>
    <w:p w:rsidR="00456A4E" w:rsidRPr="00F9179C" w:rsidRDefault="00456A4E" w:rsidP="00456A4E">
      <w:pPr>
        <w:rPr>
          <w:lang w:eastAsia="en-AU"/>
        </w:rPr>
      </w:pPr>
    </w:p>
    <w:p w:rsidR="00456A4E" w:rsidRPr="00F9179C" w:rsidRDefault="00456A4E" w:rsidP="00456A4E">
      <w:pPr>
        <w:rPr>
          <w:lang w:eastAsia="en-AU"/>
        </w:rPr>
      </w:pPr>
      <w:r>
        <w:rPr>
          <w:lang w:eastAsia="en-AU"/>
        </w:rPr>
        <w:t>Correct a typographical error</w:t>
      </w:r>
    </w:p>
    <w:p w:rsidR="00456A4E" w:rsidRPr="00F9179C" w:rsidRDefault="00456A4E" w:rsidP="00456A4E">
      <w:pPr>
        <w:rPr>
          <w:lang w:eastAsia="en-AU"/>
        </w:rPr>
      </w:pPr>
    </w:p>
    <w:p w:rsidR="00456A4E" w:rsidRDefault="00456A4E" w:rsidP="00456A4E">
      <w:pPr>
        <w:rPr>
          <w:b/>
          <w:lang w:eastAsia="en-AU"/>
        </w:rPr>
      </w:pPr>
      <w:r w:rsidRPr="00F9179C">
        <w:rPr>
          <w:b/>
          <w:lang w:eastAsia="en-AU"/>
        </w:rPr>
        <w:t>Details of editorial change</w:t>
      </w:r>
    </w:p>
    <w:p w:rsidR="00456A4E" w:rsidRDefault="00456A4E" w:rsidP="00456A4E">
      <w:pPr>
        <w:rPr>
          <w:b/>
          <w:lang w:eastAsia="en-AU"/>
        </w:rPr>
      </w:pPr>
    </w:p>
    <w:p w:rsidR="00456A4E" w:rsidRPr="00AE337A" w:rsidRDefault="00456A4E" w:rsidP="00456A4E">
      <w:r>
        <w:t xml:space="preserve">The heading to Division 2 of Part IIAA </w:t>
      </w:r>
      <w:r w:rsidRPr="00AE337A">
        <w:t>includes the word “</w:t>
      </w:r>
      <w:r w:rsidRPr="005177F6">
        <w:rPr>
          <w:b/>
        </w:rPr>
        <w:t>Apppointment</w:t>
      </w:r>
      <w:r w:rsidRPr="00AE337A">
        <w:t>”.</w:t>
      </w:r>
    </w:p>
    <w:p w:rsidR="00456A4E" w:rsidRPr="00AE337A" w:rsidRDefault="00456A4E" w:rsidP="00456A4E"/>
    <w:p w:rsidR="00456A4E" w:rsidRPr="00AE337A" w:rsidRDefault="00456A4E" w:rsidP="00456A4E">
      <w:r w:rsidRPr="00AE337A">
        <w:t>This compilation was editorially changed to omit the word “</w:t>
      </w:r>
      <w:r w:rsidRPr="005177F6">
        <w:rPr>
          <w:b/>
        </w:rPr>
        <w:t>Apppointment</w:t>
      </w:r>
      <w:r w:rsidRPr="00AE337A">
        <w:t>” and substitute the word “</w:t>
      </w:r>
      <w:r w:rsidRPr="005177F6">
        <w:rPr>
          <w:b/>
        </w:rPr>
        <w:t>Appointment</w:t>
      </w:r>
      <w:r w:rsidRPr="00AE337A">
        <w:t>” to correct this typographical error.</w:t>
      </w:r>
    </w:p>
    <w:p w:rsidR="00456A4E" w:rsidRDefault="00456A4E" w:rsidP="00456A4E">
      <w:pPr>
        <w:rPr>
          <w:b/>
        </w:rPr>
      </w:pPr>
    </w:p>
    <w:p w:rsidR="00456A4E" w:rsidRDefault="00456A4E" w:rsidP="00456A4E">
      <w:pPr>
        <w:rPr>
          <w:b/>
        </w:rPr>
      </w:pPr>
    </w:p>
    <w:p w:rsidR="00456A4E" w:rsidRPr="00EF0C2A" w:rsidRDefault="00456A4E" w:rsidP="00456A4E">
      <w:pPr>
        <w:keepNext/>
        <w:rPr>
          <w:b/>
        </w:rPr>
      </w:pPr>
      <w:r w:rsidRPr="00EF0C2A">
        <w:rPr>
          <w:b/>
        </w:rPr>
        <w:t>Kind of editorial change</w:t>
      </w:r>
    </w:p>
    <w:p w:rsidR="00456A4E" w:rsidRPr="0044351E" w:rsidRDefault="00456A4E" w:rsidP="00456A4E">
      <w:pPr>
        <w:keepNext/>
      </w:pPr>
    </w:p>
    <w:p w:rsidR="00456A4E" w:rsidRPr="009A50D1" w:rsidRDefault="00456A4E" w:rsidP="00456A4E">
      <w:pPr>
        <w:keepNext/>
      </w:pPr>
      <w:r>
        <w:t>Change to typeface</w:t>
      </w:r>
    </w:p>
    <w:p w:rsidR="00456A4E" w:rsidRPr="0044351E" w:rsidRDefault="00456A4E" w:rsidP="00456A4E"/>
    <w:p w:rsidR="00456A4E" w:rsidRPr="00EF0C2A" w:rsidRDefault="00456A4E" w:rsidP="00B81553">
      <w:pPr>
        <w:keepNext/>
        <w:rPr>
          <w:b/>
        </w:rPr>
      </w:pPr>
      <w:r w:rsidRPr="00EF0C2A">
        <w:rPr>
          <w:b/>
        </w:rPr>
        <w:t>Details of editorial change</w:t>
      </w:r>
    </w:p>
    <w:p w:rsidR="00456A4E" w:rsidRPr="0044351E" w:rsidRDefault="00456A4E" w:rsidP="00B81553">
      <w:pPr>
        <w:keepNext/>
      </w:pPr>
    </w:p>
    <w:p w:rsidR="00456A4E" w:rsidRPr="00146045" w:rsidRDefault="00456A4E" w:rsidP="00456A4E">
      <w:r w:rsidRPr="009425F9">
        <w:rPr>
          <w:szCs w:val="22"/>
        </w:rPr>
        <w:t xml:space="preserve">This compilation was editorially changed to update all occurrences of the words </w:t>
      </w:r>
      <w:r>
        <w:rPr>
          <w:i/>
          <w:szCs w:val="22"/>
        </w:rPr>
        <w:t>amicus curiae</w:t>
      </w:r>
      <w:r w:rsidRPr="009425F9">
        <w:rPr>
          <w:szCs w:val="22"/>
        </w:rPr>
        <w:t xml:space="preserve"> in italics to regular font</w:t>
      </w:r>
      <w:r>
        <w:t>.</w:t>
      </w:r>
    </w:p>
    <w:p w:rsidR="00D50E40" w:rsidRDefault="00D50E40" w:rsidP="00E64E89">
      <w:pPr>
        <w:pStyle w:val="Head2"/>
      </w:pPr>
      <w:r w:rsidRPr="002F6B04">
        <w:lastRenderedPageBreak/>
        <w:t>Migration Agents Regulations</w:t>
      </w:r>
      <w:r>
        <w:t> </w:t>
      </w:r>
      <w:r w:rsidRPr="002F6B04">
        <w:t>1998</w:t>
      </w:r>
      <w:r>
        <w:t>, Compilation No. 23, Registration Date: 19 April 2017</w:t>
      </w:r>
    </w:p>
    <w:p w:rsidR="00D50E40" w:rsidRPr="002F6B04" w:rsidRDefault="00D50E40" w:rsidP="00D50E40"/>
    <w:p w:rsidR="00D50E40" w:rsidRPr="002F6B04" w:rsidRDefault="00D50E40" w:rsidP="00D50E40">
      <w:pPr>
        <w:rPr>
          <w:b/>
          <w:sz w:val="24"/>
          <w:szCs w:val="24"/>
        </w:rPr>
      </w:pPr>
      <w:r w:rsidRPr="002F6B04">
        <w:rPr>
          <w:b/>
          <w:sz w:val="24"/>
          <w:szCs w:val="24"/>
        </w:rPr>
        <w:t>Regulation</w:t>
      </w:r>
      <w:r>
        <w:rPr>
          <w:b/>
          <w:sz w:val="24"/>
          <w:szCs w:val="24"/>
        </w:rPr>
        <w:t> </w:t>
      </w:r>
      <w:r w:rsidRPr="002F6B04">
        <w:rPr>
          <w:b/>
          <w:sz w:val="24"/>
          <w:szCs w:val="24"/>
        </w:rPr>
        <w:t>7H (note 1)</w:t>
      </w:r>
    </w:p>
    <w:p w:rsidR="00D50E40" w:rsidRPr="002F6B04" w:rsidRDefault="00D50E40" w:rsidP="00D50E40">
      <w:pPr>
        <w:rPr>
          <w:b/>
        </w:rPr>
      </w:pPr>
    </w:p>
    <w:p w:rsidR="00D50E40" w:rsidRPr="002F6B04" w:rsidRDefault="00D50E40" w:rsidP="00D50E40">
      <w:pPr>
        <w:rPr>
          <w:b/>
        </w:rPr>
      </w:pPr>
      <w:r w:rsidRPr="002F6B04">
        <w:rPr>
          <w:b/>
        </w:rPr>
        <w:t>Kind of editorial change</w:t>
      </w:r>
    </w:p>
    <w:p w:rsidR="00D50E40" w:rsidRPr="002F6B04" w:rsidRDefault="00D50E40" w:rsidP="00D50E40">
      <w:pPr>
        <w:rPr>
          <w:b/>
        </w:rPr>
      </w:pPr>
    </w:p>
    <w:p w:rsidR="00D50E40" w:rsidRPr="002F6B04" w:rsidRDefault="00D50E40" w:rsidP="00D50E40">
      <w:r w:rsidRPr="002F6B04">
        <w:t>Correct a typographical error</w:t>
      </w:r>
    </w:p>
    <w:p w:rsidR="00D50E40" w:rsidRPr="002F6B04" w:rsidRDefault="00D50E40" w:rsidP="00D50E40">
      <w:pPr>
        <w:pStyle w:val="EnStatementHeading0"/>
      </w:pPr>
    </w:p>
    <w:p w:rsidR="00D50E40" w:rsidRPr="002F6B04" w:rsidRDefault="00D50E40" w:rsidP="00D50E40">
      <w:pPr>
        <w:rPr>
          <w:b/>
        </w:rPr>
      </w:pPr>
      <w:r w:rsidRPr="002F6B04">
        <w:rPr>
          <w:b/>
        </w:rPr>
        <w:t>Details of editorial change</w:t>
      </w:r>
    </w:p>
    <w:p w:rsidR="00D50E40" w:rsidRPr="002F6B04" w:rsidRDefault="00D50E40" w:rsidP="00D50E40">
      <w:pPr>
        <w:rPr>
          <w:b/>
        </w:rPr>
      </w:pPr>
    </w:p>
    <w:p w:rsidR="00D50E40" w:rsidRPr="002F6B04" w:rsidRDefault="00D50E40" w:rsidP="00D50E40">
      <w:r w:rsidRPr="002F6B04">
        <w:t>Schedule</w:t>
      </w:r>
      <w:r>
        <w:t> </w:t>
      </w:r>
      <w:r w:rsidRPr="002F6B04">
        <w:t>6 item</w:t>
      </w:r>
      <w:r>
        <w:t> </w:t>
      </w:r>
      <w:r w:rsidRPr="002F6B04">
        <w:t xml:space="preserve">4 of the </w:t>
      </w:r>
      <w:r w:rsidRPr="002F6B04">
        <w:rPr>
          <w:i/>
        </w:rPr>
        <w:t>Migration Legislation Amendment (2015 Measures No.</w:t>
      </w:r>
      <w:r>
        <w:rPr>
          <w:i/>
        </w:rPr>
        <w:t> </w:t>
      </w:r>
      <w:r w:rsidRPr="002F6B04">
        <w:rPr>
          <w:i/>
        </w:rPr>
        <w:t>2) Regulation</w:t>
      </w:r>
      <w:r>
        <w:rPr>
          <w:i/>
        </w:rPr>
        <w:t> </w:t>
      </w:r>
      <w:r w:rsidRPr="002F6B04">
        <w:rPr>
          <w:i/>
        </w:rPr>
        <w:t>2015</w:t>
      </w:r>
      <w:r w:rsidRPr="002F6B04">
        <w:t xml:space="preserve"> adds notes 1 and 2 at the end of regulation</w:t>
      </w:r>
      <w:r>
        <w:t> </w:t>
      </w:r>
      <w:r w:rsidRPr="002F6B04">
        <w:t>7H. There is a reference to "</w:t>
      </w:r>
      <w:r>
        <w:t>subsection (</w:t>
      </w:r>
      <w:r w:rsidRPr="002F6B04">
        <w:t>5)(1)" in the text of note 1.</w:t>
      </w:r>
    </w:p>
    <w:p w:rsidR="00D50E40" w:rsidRPr="002F6B04" w:rsidRDefault="00D50E40" w:rsidP="00D50E40"/>
    <w:p w:rsidR="00D50E40" w:rsidRPr="002F6B04" w:rsidRDefault="00D50E40" w:rsidP="00D50E40">
      <w:r w:rsidRPr="002F6B04">
        <w:t>This compilation was editorially changed to correct the typographical error by removing the brackets from around the number 5.</w:t>
      </w:r>
    </w:p>
    <w:p w:rsidR="0072187F" w:rsidRDefault="0072187F" w:rsidP="00E64E89">
      <w:pPr>
        <w:pStyle w:val="Head2"/>
      </w:pPr>
      <w:r>
        <w:t>Commerce (Trade Descriptions) Act 1905, Compilation No. 10, Registration Date: 10 April 2017</w:t>
      </w:r>
    </w:p>
    <w:p w:rsidR="00FD4FFC" w:rsidRDefault="00FD4FFC" w:rsidP="00FD4FFC"/>
    <w:p w:rsidR="00FD4FFC" w:rsidRDefault="00FD4FFC" w:rsidP="00FD4FFC">
      <w:pPr>
        <w:rPr>
          <w:b/>
          <w:sz w:val="24"/>
          <w:szCs w:val="24"/>
        </w:rPr>
      </w:pPr>
      <w:r>
        <w:rPr>
          <w:b/>
          <w:sz w:val="24"/>
          <w:szCs w:val="24"/>
        </w:rPr>
        <w:t>Subsection 17(1)</w:t>
      </w:r>
    </w:p>
    <w:p w:rsidR="00FD4FFC" w:rsidRDefault="00FD4FFC" w:rsidP="00FD4FFC"/>
    <w:p w:rsidR="00FD4FFC" w:rsidRDefault="00FD4FFC" w:rsidP="00FD4FFC">
      <w:pPr>
        <w:rPr>
          <w:b/>
        </w:rPr>
      </w:pPr>
      <w:r>
        <w:rPr>
          <w:b/>
        </w:rPr>
        <w:t>Kind of editorial change</w:t>
      </w:r>
    </w:p>
    <w:p w:rsidR="00FD4FFC" w:rsidRDefault="00FD4FFC" w:rsidP="00FD4FFC"/>
    <w:p w:rsidR="00FD4FFC" w:rsidRDefault="00FD4FFC" w:rsidP="00FD4FFC">
      <w:r>
        <w:t>Change to typeface</w:t>
      </w:r>
    </w:p>
    <w:p w:rsidR="00FD4FFC" w:rsidRDefault="00FD4FFC" w:rsidP="00FD4FFC"/>
    <w:p w:rsidR="00FD4FFC" w:rsidRDefault="00FD4FFC" w:rsidP="00FD4FFC">
      <w:pPr>
        <w:rPr>
          <w:b/>
        </w:rPr>
      </w:pPr>
      <w:r>
        <w:rPr>
          <w:b/>
        </w:rPr>
        <w:t>Details of editorial change</w:t>
      </w:r>
    </w:p>
    <w:p w:rsidR="00FD4FFC" w:rsidRDefault="00FD4FFC" w:rsidP="00FD4FFC"/>
    <w:p w:rsidR="0072187F" w:rsidRDefault="00FD4FFC" w:rsidP="00FD4FFC">
      <w:r w:rsidRPr="00FD4FFC">
        <w:t xml:space="preserve">This compilation was editorially changed to update an occurrence of the words </w:t>
      </w:r>
      <w:r w:rsidRPr="00FD4FFC">
        <w:rPr>
          <w:i/>
        </w:rPr>
        <w:t>prima facie</w:t>
      </w:r>
      <w:r w:rsidRPr="00FD4FFC">
        <w:t xml:space="preserve"> in italics to regular font</w:t>
      </w:r>
      <w:r>
        <w:t>.</w:t>
      </w:r>
    </w:p>
    <w:p w:rsidR="00500A5C" w:rsidRDefault="00500A5C" w:rsidP="00E64E89">
      <w:pPr>
        <w:pStyle w:val="Head2"/>
      </w:pPr>
      <w:r>
        <w:t>Retirement Savings Accounts Regulations 1997, Compilation No. 54, Registration Date: 10 April 2017</w:t>
      </w:r>
    </w:p>
    <w:p w:rsidR="00500A5C" w:rsidRDefault="00500A5C" w:rsidP="00500A5C"/>
    <w:p w:rsidR="00500A5C" w:rsidRDefault="00500A5C" w:rsidP="00500A5C">
      <w:pPr>
        <w:rPr>
          <w:b/>
          <w:sz w:val="24"/>
          <w:szCs w:val="24"/>
        </w:rPr>
      </w:pPr>
      <w:r>
        <w:rPr>
          <w:b/>
          <w:sz w:val="24"/>
          <w:szCs w:val="24"/>
        </w:rPr>
        <w:t>Regulation 7.3 of Part 7</w:t>
      </w:r>
    </w:p>
    <w:p w:rsidR="00500A5C" w:rsidRDefault="00500A5C" w:rsidP="00500A5C">
      <w:pPr>
        <w:rPr>
          <w:b/>
        </w:rPr>
      </w:pPr>
    </w:p>
    <w:p w:rsidR="00500A5C" w:rsidRDefault="00500A5C" w:rsidP="00500A5C">
      <w:pPr>
        <w:rPr>
          <w:b/>
        </w:rPr>
      </w:pPr>
      <w:r>
        <w:rPr>
          <w:b/>
        </w:rPr>
        <w:t>Kind of editorial change</w:t>
      </w:r>
    </w:p>
    <w:p w:rsidR="00500A5C" w:rsidRDefault="00500A5C" w:rsidP="00500A5C"/>
    <w:p w:rsidR="00500A5C" w:rsidRDefault="00500A5C" w:rsidP="00500A5C">
      <w:pPr>
        <w:rPr>
          <w:b/>
        </w:rPr>
      </w:pPr>
      <w:r>
        <w:t>Change to typeface</w:t>
      </w:r>
    </w:p>
    <w:p w:rsidR="00500A5C" w:rsidRDefault="00500A5C" w:rsidP="00500A5C"/>
    <w:p w:rsidR="00500A5C" w:rsidRDefault="00500A5C" w:rsidP="00500A5C">
      <w:pPr>
        <w:rPr>
          <w:b/>
        </w:rPr>
      </w:pPr>
      <w:r>
        <w:rPr>
          <w:b/>
        </w:rPr>
        <w:t>Details of editorial change</w:t>
      </w:r>
    </w:p>
    <w:p w:rsidR="00500A5C" w:rsidRDefault="00500A5C" w:rsidP="00500A5C">
      <w:pPr>
        <w:rPr>
          <w:b/>
        </w:rPr>
      </w:pPr>
    </w:p>
    <w:p w:rsidR="00500A5C" w:rsidRDefault="00500A5C" w:rsidP="00500A5C">
      <w:r>
        <w:t>The heading to regulation 7.3 includes “Treasury Laws Amendment (2016 Measures No. 1) Regulation 2016”. The Regulation title should be italicized.</w:t>
      </w:r>
    </w:p>
    <w:p w:rsidR="00500A5C" w:rsidRDefault="00500A5C" w:rsidP="00500A5C"/>
    <w:p w:rsidR="00500A5C" w:rsidRDefault="00500A5C" w:rsidP="00500A5C">
      <w:r>
        <w:t>This compilation was editorially changed to italicize the Regulation title in the heading to regulation 7.3.</w:t>
      </w:r>
    </w:p>
    <w:p w:rsidR="00A21735" w:rsidRDefault="00A21735" w:rsidP="00A21735">
      <w:pPr>
        <w:pStyle w:val="Head2"/>
      </w:pPr>
      <w:r>
        <w:lastRenderedPageBreak/>
        <w:t>National Health (Listing of Pharmaceutical Benefits) Instrument 2012 (PB 71 of 2012), Compilation No. 53, Registration Date: 7 April 2017</w:t>
      </w:r>
    </w:p>
    <w:p w:rsidR="00A21735" w:rsidRDefault="00A21735" w:rsidP="00A21735"/>
    <w:p w:rsidR="00A21735" w:rsidRDefault="00A21735" w:rsidP="00A21735">
      <w:pPr>
        <w:rPr>
          <w:b/>
          <w:sz w:val="24"/>
          <w:szCs w:val="24"/>
        </w:rPr>
      </w:pPr>
      <w:r>
        <w:rPr>
          <w:b/>
          <w:sz w:val="24"/>
          <w:szCs w:val="24"/>
        </w:rPr>
        <w:t xml:space="preserve">Schedule 1, entry for </w:t>
      </w:r>
      <w:r>
        <w:rPr>
          <w:rFonts w:ascii="Arial" w:hAnsi="Arial" w:cs="Arial"/>
          <w:b/>
          <w:bCs/>
          <w:sz w:val="20"/>
          <w:lang w:eastAsia="en-AU"/>
        </w:rPr>
        <w:t>Clonidine</w:t>
      </w:r>
    </w:p>
    <w:p w:rsidR="00A21735" w:rsidRDefault="00A21735" w:rsidP="00A21735">
      <w:pPr>
        <w:rPr>
          <w:b/>
        </w:rPr>
      </w:pPr>
    </w:p>
    <w:p w:rsidR="00A21735" w:rsidRDefault="00A21735" w:rsidP="00A21735">
      <w:pPr>
        <w:rPr>
          <w:b/>
        </w:rPr>
      </w:pPr>
      <w:r>
        <w:rPr>
          <w:b/>
        </w:rPr>
        <w:t>Kind of editorial change</w:t>
      </w:r>
    </w:p>
    <w:p w:rsidR="00A21735" w:rsidRDefault="00A21735" w:rsidP="00A21735">
      <w:pPr>
        <w:rPr>
          <w:b/>
        </w:rPr>
      </w:pPr>
    </w:p>
    <w:p w:rsidR="00A21735" w:rsidRDefault="00A21735" w:rsidP="00A21735">
      <w:r>
        <w:t>Give effect to the misdescribed amendment as intended</w:t>
      </w:r>
    </w:p>
    <w:p w:rsidR="00A21735" w:rsidRDefault="00A21735" w:rsidP="00A21735">
      <w:pPr>
        <w:pStyle w:val="EnStatementHeading0"/>
      </w:pPr>
    </w:p>
    <w:p w:rsidR="00A21735" w:rsidRDefault="00A21735" w:rsidP="000B0B1A">
      <w:pPr>
        <w:keepNext/>
        <w:rPr>
          <w:b/>
        </w:rPr>
      </w:pPr>
      <w:r>
        <w:rPr>
          <w:b/>
        </w:rPr>
        <w:t>Details of editorial change</w:t>
      </w:r>
    </w:p>
    <w:p w:rsidR="00A21735" w:rsidRDefault="00A21735" w:rsidP="000B0B1A">
      <w:pPr>
        <w:keepNext/>
      </w:pPr>
    </w:p>
    <w:p w:rsidR="00A21735" w:rsidRDefault="00A21735" w:rsidP="000B0B1A">
      <w:pPr>
        <w:keepNext/>
        <w:rPr>
          <w:i/>
        </w:rPr>
      </w:pPr>
      <w:r>
        <w:t xml:space="preserve">Schedule 1 item [20] (b) of the </w:t>
      </w:r>
      <w:r>
        <w:rPr>
          <w:i/>
        </w:rPr>
        <w:t>National Health (Listing of Pharmaceutical Benefits) Amendment Instrument 2017 (No. 2)</w:t>
      </w:r>
      <w:r>
        <w:t xml:space="preserve"> instructs as follows:</w:t>
      </w:r>
    </w:p>
    <w:p w:rsidR="00A21735" w:rsidRDefault="00A21735" w:rsidP="000B0B1A">
      <w:pPr>
        <w:keepNext/>
      </w:pPr>
    </w:p>
    <w:p w:rsidR="00A21735" w:rsidRDefault="00A21735" w:rsidP="000B0B1A">
      <w:pPr>
        <w:keepNext/>
        <w:shd w:val="clear" w:color="auto" w:fill="FFFFFF"/>
        <w:spacing w:before="120" w:line="240" w:lineRule="auto"/>
        <w:ind w:left="663" w:hanging="720"/>
        <w:rPr>
          <w:rFonts w:ascii="Arial" w:eastAsia="Times New Roman" w:hAnsi="Arial" w:cs="Arial"/>
          <w:b/>
          <w:bCs/>
          <w:sz w:val="20"/>
          <w:lang w:eastAsia="en-AU"/>
        </w:rPr>
      </w:pPr>
      <w:r>
        <w:rPr>
          <w:rFonts w:ascii="Arial" w:eastAsia="Times New Roman" w:hAnsi="Arial" w:cs="Arial"/>
          <w:b/>
          <w:bCs/>
          <w:sz w:val="20"/>
          <w:lang w:eastAsia="en-AU"/>
        </w:rPr>
        <w:tab/>
        <w:t>Schedule 1, entry for Clonidine in the form Tablet containing clonidine hydrochloride 100 micrograms</w:t>
      </w:r>
    </w:p>
    <w:p w:rsidR="00A21735" w:rsidRDefault="00A21735" w:rsidP="00A21735">
      <w:pPr>
        <w:shd w:val="clear" w:color="auto" w:fill="FFFFFF"/>
        <w:spacing w:before="120" w:line="240" w:lineRule="auto"/>
        <w:ind w:left="663" w:hanging="720"/>
        <w:rPr>
          <w:rFonts w:eastAsia="Times New Roman" w:cs="Times New Roman"/>
          <w:sz w:val="24"/>
          <w:szCs w:val="24"/>
          <w:lang w:val="en-US" w:eastAsia="en-AU"/>
        </w:rPr>
      </w:pPr>
      <w:r>
        <w:rPr>
          <w:b/>
          <w:iCs/>
          <w:sz w:val="20"/>
          <w:lang w:eastAsia="en-AU"/>
        </w:rPr>
        <w:t>(b)</w:t>
      </w:r>
      <w:r>
        <w:rPr>
          <w:i/>
          <w:iCs/>
          <w:sz w:val="20"/>
          <w:lang w:eastAsia="en-AU"/>
        </w:rPr>
        <w:t xml:space="preserve"> insert in the column headed “Responsible Person” for the brand “Catapres 100”:</w:t>
      </w:r>
      <w:r>
        <w:rPr>
          <w:i/>
          <w:iCs/>
          <w:sz w:val="20"/>
          <w:lang w:eastAsia="en-AU"/>
        </w:rPr>
        <w:tab/>
      </w:r>
      <w:r>
        <w:rPr>
          <w:rFonts w:ascii="Arial" w:hAnsi="Arial" w:cs="Arial"/>
          <w:b/>
          <w:iCs/>
          <w:sz w:val="20"/>
          <w:lang w:eastAsia="en-AU"/>
        </w:rPr>
        <w:t>a</w:t>
      </w:r>
    </w:p>
    <w:p w:rsidR="00A21735" w:rsidRDefault="00A21735" w:rsidP="00A21735"/>
    <w:p w:rsidR="00A21735" w:rsidRDefault="00A21735" w:rsidP="00A21735">
      <w:r>
        <w:t>The column headed “Responsible Person” is already full. The amendment intended to insert the letter “a” into the column headed “Schedule Equivalent”.</w:t>
      </w:r>
    </w:p>
    <w:p w:rsidR="00A21735" w:rsidRDefault="00A21735" w:rsidP="00A21735"/>
    <w:p w:rsidR="00A21735" w:rsidRDefault="00A21735" w:rsidP="00A21735">
      <w:r>
        <w:t>This compilation was editorially changed to insert the letter “a” into the column headed “Schedule Equivalent” in the entry for Clodine to give effect to the misdescribed amendment as intended.</w:t>
      </w:r>
    </w:p>
    <w:p w:rsidR="00BC03F6" w:rsidRDefault="00BC03F6" w:rsidP="00E64E89">
      <w:pPr>
        <w:pStyle w:val="Head2"/>
      </w:pPr>
      <w:r w:rsidRPr="00BC03F6">
        <w:t>Veterans’ Entitlements Regulations 1986</w:t>
      </w:r>
      <w:r>
        <w:t>, Compilation No. 16, Registration Date: 6 April 2017</w:t>
      </w:r>
    </w:p>
    <w:p w:rsidR="00BC03F6" w:rsidRDefault="00BC03F6" w:rsidP="00BC03F6"/>
    <w:p w:rsidR="00BC03F6" w:rsidRDefault="00BC03F6" w:rsidP="00BC03F6">
      <w:pPr>
        <w:rPr>
          <w:b/>
          <w:sz w:val="24"/>
          <w:szCs w:val="24"/>
        </w:rPr>
      </w:pPr>
      <w:r>
        <w:rPr>
          <w:b/>
          <w:sz w:val="24"/>
          <w:szCs w:val="24"/>
        </w:rPr>
        <w:t>Regulation 9 (example 6)</w:t>
      </w:r>
    </w:p>
    <w:p w:rsidR="00BC03F6" w:rsidRDefault="00BC03F6" w:rsidP="00BC03F6"/>
    <w:p w:rsidR="00BC03F6" w:rsidRDefault="00BC03F6" w:rsidP="00BC03F6">
      <w:pPr>
        <w:rPr>
          <w:b/>
        </w:rPr>
      </w:pPr>
      <w:r>
        <w:rPr>
          <w:b/>
        </w:rPr>
        <w:t>Kind of editorial change</w:t>
      </w:r>
    </w:p>
    <w:p w:rsidR="00BC03F6" w:rsidRDefault="00BC03F6" w:rsidP="00BC03F6"/>
    <w:p w:rsidR="00BC03F6" w:rsidRDefault="00BC03F6" w:rsidP="00BC03F6">
      <w:r>
        <w:t>Correct a typographical error</w:t>
      </w:r>
    </w:p>
    <w:p w:rsidR="00BC03F6" w:rsidRDefault="00BC03F6" w:rsidP="00BC03F6"/>
    <w:p w:rsidR="00BC03F6" w:rsidRDefault="00BC03F6" w:rsidP="00BC03F6">
      <w:pPr>
        <w:rPr>
          <w:b/>
        </w:rPr>
      </w:pPr>
      <w:r>
        <w:rPr>
          <w:b/>
        </w:rPr>
        <w:t>Details of editorial change</w:t>
      </w:r>
    </w:p>
    <w:p w:rsidR="00BC03F6" w:rsidRDefault="00BC03F6" w:rsidP="00BC03F6"/>
    <w:p w:rsidR="00BC03F6" w:rsidRDefault="00BC03F6" w:rsidP="00BC03F6">
      <w:r>
        <w:rPr>
          <w:szCs w:val="22"/>
        </w:rPr>
        <w:t xml:space="preserve">Schedule 1 item 1 of the </w:t>
      </w:r>
      <w:r>
        <w:rPr>
          <w:i/>
        </w:rPr>
        <w:t>Veterans’ Entitlements Amendment Regulations 2007 (No. 1)</w:t>
      </w:r>
      <w:r>
        <w:t xml:space="preserve"> instructs to repeal and substitute regulation 9.</w:t>
      </w:r>
    </w:p>
    <w:p w:rsidR="00BC03F6" w:rsidRDefault="00BC03F6" w:rsidP="00BC03F6"/>
    <w:p w:rsidR="00BC03F6" w:rsidRDefault="00BC03F6" w:rsidP="00BC03F6">
      <w:pPr>
        <w:rPr>
          <w:szCs w:val="22"/>
        </w:rPr>
      </w:pPr>
      <w:r>
        <w:t>Example 6 of regulation 9 refers to “Amount set out in example 2 (as if in `private accommodation)”.</w:t>
      </w:r>
    </w:p>
    <w:p w:rsidR="00BC03F6" w:rsidRDefault="00BC03F6" w:rsidP="00BC03F6">
      <w:pPr>
        <w:rPr>
          <w:szCs w:val="22"/>
        </w:rPr>
      </w:pPr>
    </w:p>
    <w:p w:rsidR="00BC03F6" w:rsidRDefault="00BC03F6" w:rsidP="00BC03F6">
      <w:r w:rsidRPr="00BC03F6">
        <w:t>This compilation was editorially changed to</w:t>
      </w:r>
      <w:r>
        <w:t xml:space="preserve"> remove the quote before the word “private” </w:t>
      </w:r>
      <w:r w:rsidRPr="00BC03F6">
        <w:t xml:space="preserve">to </w:t>
      </w:r>
      <w:r>
        <w:t>correct this typographical error.</w:t>
      </w:r>
    </w:p>
    <w:p w:rsidR="003A1E6E" w:rsidRDefault="003A1E6E" w:rsidP="00C13DAD">
      <w:pPr>
        <w:pStyle w:val="Head2"/>
      </w:pPr>
      <w:r w:rsidRPr="00950B1D">
        <w:lastRenderedPageBreak/>
        <w:t>Renewable Energy (Electricity) Regulations</w:t>
      </w:r>
      <w:r>
        <w:t> </w:t>
      </w:r>
      <w:r w:rsidRPr="00950B1D">
        <w:t>2001</w:t>
      </w:r>
      <w:r>
        <w:t>, Compilation No. 64, Registration Date: 5 April 2017</w:t>
      </w:r>
    </w:p>
    <w:p w:rsidR="003A1E6E" w:rsidRPr="00950B1D" w:rsidRDefault="003A1E6E" w:rsidP="00C13DAD">
      <w:pPr>
        <w:keepNext/>
      </w:pPr>
    </w:p>
    <w:p w:rsidR="003A1E6E" w:rsidRPr="00950B1D" w:rsidRDefault="003A1E6E" w:rsidP="00C13DAD">
      <w:pPr>
        <w:keepNext/>
        <w:rPr>
          <w:b/>
          <w:sz w:val="24"/>
          <w:szCs w:val="24"/>
        </w:rPr>
      </w:pPr>
      <w:r w:rsidRPr="00950B1D">
        <w:rPr>
          <w:b/>
          <w:sz w:val="24"/>
          <w:szCs w:val="24"/>
        </w:rPr>
        <w:t>Note to subclauses</w:t>
      </w:r>
      <w:r>
        <w:rPr>
          <w:b/>
          <w:sz w:val="24"/>
          <w:szCs w:val="24"/>
        </w:rPr>
        <w:t> </w:t>
      </w:r>
      <w:r w:rsidRPr="00950B1D">
        <w:rPr>
          <w:b/>
          <w:sz w:val="24"/>
          <w:szCs w:val="24"/>
        </w:rPr>
        <w:t>634(1) to (3) of Schedule</w:t>
      </w:r>
      <w:r>
        <w:rPr>
          <w:b/>
          <w:sz w:val="24"/>
          <w:szCs w:val="24"/>
        </w:rPr>
        <w:t> </w:t>
      </w:r>
      <w:r w:rsidRPr="00950B1D">
        <w:rPr>
          <w:b/>
          <w:sz w:val="24"/>
          <w:szCs w:val="24"/>
        </w:rPr>
        <w:t>6</w:t>
      </w:r>
    </w:p>
    <w:p w:rsidR="003A1E6E" w:rsidRPr="00950B1D" w:rsidRDefault="003A1E6E" w:rsidP="00C13DAD">
      <w:pPr>
        <w:keepNext/>
        <w:rPr>
          <w:b/>
        </w:rPr>
      </w:pPr>
    </w:p>
    <w:p w:rsidR="003A1E6E" w:rsidRPr="00950B1D" w:rsidRDefault="003A1E6E" w:rsidP="00C13DAD">
      <w:pPr>
        <w:keepNext/>
        <w:rPr>
          <w:b/>
        </w:rPr>
      </w:pPr>
      <w:r w:rsidRPr="00950B1D">
        <w:rPr>
          <w:b/>
        </w:rPr>
        <w:t>Kind of editorial change</w:t>
      </w:r>
    </w:p>
    <w:p w:rsidR="003A1E6E" w:rsidRPr="00950B1D" w:rsidRDefault="003A1E6E" w:rsidP="003A1E6E"/>
    <w:p w:rsidR="003A1E6E" w:rsidRPr="00950B1D" w:rsidRDefault="003A1E6E" w:rsidP="003A1E6E">
      <w:pPr>
        <w:rPr>
          <w:szCs w:val="22"/>
        </w:rPr>
      </w:pPr>
      <w:r w:rsidRPr="00950B1D">
        <w:rPr>
          <w:szCs w:val="22"/>
        </w:rPr>
        <w:t>Update to reference of a law or a provision</w:t>
      </w:r>
    </w:p>
    <w:p w:rsidR="003A1E6E" w:rsidRPr="00950B1D" w:rsidRDefault="003A1E6E" w:rsidP="003A1E6E"/>
    <w:p w:rsidR="003A1E6E" w:rsidRPr="00950B1D" w:rsidRDefault="003A1E6E" w:rsidP="003A1E6E">
      <w:pPr>
        <w:rPr>
          <w:b/>
        </w:rPr>
      </w:pPr>
      <w:r w:rsidRPr="00950B1D">
        <w:rPr>
          <w:b/>
        </w:rPr>
        <w:t>Details of editorial change</w:t>
      </w:r>
    </w:p>
    <w:p w:rsidR="003A1E6E" w:rsidRPr="00950B1D" w:rsidRDefault="003A1E6E" w:rsidP="003A1E6E">
      <w:pPr>
        <w:rPr>
          <w:b/>
        </w:rPr>
      </w:pPr>
    </w:p>
    <w:p w:rsidR="003A1E6E" w:rsidRPr="00950B1D" w:rsidRDefault="003A1E6E" w:rsidP="003A1E6E">
      <w:r w:rsidRPr="00950B1D">
        <w:t>The note at the end of subclauses</w:t>
      </w:r>
      <w:r>
        <w:t> </w:t>
      </w:r>
      <w:r w:rsidRPr="00950B1D">
        <w:t>634(1) to (3) refers to “section</w:t>
      </w:r>
      <w:r>
        <w:t> </w:t>
      </w:r>
      <w:r w:rsidRPr="00950B1D">
        <w:t>22C”.</w:t>
      </w:r>
    </w:p>
    <w:p w:rsidR="003A1E6E" w:rsidRPr="00950B1D" w:rsidRDefault="003A1E6E" w:rsidP="003A1E6E"/>
    <w:p w:rsidR="003A1E6E" w:rsidRPr="00950B1D" w:rsidRDefault="003A1E6E" w:rsidP="003A1E6E">
      <w:r w:rsidRPr="00950B1D">
        <w:t>This compilation was editorially changed to update the cross</w:t>
      </w:r>
      <w:r>
        <w:noBreakHyphen/>
      </w:r>
      <w:r w:rsidRPr="00950B1D">
        <w:t>reference by omitting the words “section</w:t>
      </w:r>
      <w:r>
        <w:t> </w:t>
      </w:r>
      <w:r w:rsidRPr="00950B1D">
        <w:t>22C” and substituting the words “regulation</w:t>
      </w:r>
      <w:r>
        <w:t> </w:t>
      </w:r>
      <w:r w:rsidRPr="00950B1D">
        <w:t>22C”.</w:t>
      </w:r>
    </w:p>
    <w:p w:rsidR="003A1E6E" w:rsidRPr="00950B1D" w:rsidRDefault="003A1E6E" w:rsidP="003A1E6E"/>
    <w:p w:rsidR="003A1E6E" w:rsidRPr="00950B1D" w:rsidRDefault="003A1E6E" w:rsidP="003A1E6E"/>
    <w:p w:rsidR="003A1E6E" w:rsidRPr="00950B1D" w:rsidRDefault="003A1E6E" w:rsidP="003A1E6E">
      <w:pPr>
        <w:rPr>
          <w:b/>
          <w:sz w:val="24"/>
          <w:szCs w:val="24"/>
        </w:rPr>
      </w:pPr>
      <w:r w:rsidRPr="00950B1D">
        <w:rPr>
          <w:b/>
          <w:sz w:val="24"/>
          <w:szCs w:val="24"/>
        </w:rPr>
        <w:t>Note to subclause</w:t>
      </w:r>
      <w:r>
        <w:rPr>
          <w:b/>
          <w:sz w:val="24"/>
          <w:szCs w:val="24"/>
        </w:rPr>
        <w:t> </w:t>
      </w:r>
      <w:r w:rsidRPr="00950B1D">
        <w:rPr>
          <w:b/>
          <w:sz w:val="24"/>
          <w:szCs w:val="24"/>
        </w:rPr>
        <w:t>637(1) of Schedule</w:t>
      </w:r>
      <w:r>
        <w:rPr>
          <w:b/>
          <w:sz w:val="24"/>
          <w:szCs w:val="24"/>
        </w:rPr>
        <w:t> </w:t>
      </w:r>
      <w:r w:rsidRPr="00950B1D">
        <w:rPr>
          <w:b/>
          <w:sz w:val="24"/>
          <w:szCs w:val="24"/>
        </w:rPr>
        <w:t>6</w:t>
      </w:r>
    </w:p>
    <w:p w:rsidR="003A1E6E" w:rsidRPr="00950B1D" w:rsidRDefault="003A1E6E" w:rsidP="003A1E6E">
      <w:pPr>
        <w:rPr>
          <w:b/>
        </w:rPr>
      </w:pPr>
    </w:p>
    <w:p w:rsidR="003A1E6E" w:rsidRPr="00950B1D" w:rsidRDefault="003A1E6E" w:rsidP="003A1E6E">
      <w:pPr>
        <w:rPr>
          <w:b/>
        </w:rPr>
      </w:pPr>
      <w:r w:rsidRPr="00950B1D">
        <w:rPr>
          <w:b/>
        </w:rPr>
        <w:t>Kind of editorial change</w:t>
      </w:r>
    </w:p>
    <w:p w:rsidR="003A1E6E" w:rsidRPr="00950B1D" w:rsidRDefault="003A1E6E" w:rsidP="003A1E6E"/>
    <w:p w:rsidR="003A1E6E" w:rsidRPr="00950B1D" w:rsidRDefault="003A1E6E" w:rsidP="003A1E6E">
      <w:pPr>
        <w:rPr>
          <w:b/>
        </w:rPr>
      </w:pPr>
      <w:r w:rsidRPr="00950B1D">
        <w:t>Change to punctuation</w:t>
      </w:r>
    </w:p>
    <w:p w:rsidR="003A1E6E" w:rsidRPr="00950B1D" w:rsidRDefault="003A1E6E" w:rsidP="003A1E6E"/>
    <w:p w:rsidR="003A1E6E" w:rsidRPr="00950B1D" w:rsidRDefault="003A1E6E" w:rsidP="003A1E6E">
      <w:pPr>
        <w:rPr>
          <w:b/>
        </w:rPr>
      </w:pPr>
      <w:r w:rsidRPr="00950B1D">
        <w:rPr>
          <w:b/>
        </w:rPr>
        <w:t>Details of editorial change</w:t>
      </w:r>
    </w:p>
    <w:p w:rsidR="003A1E6E" w:rsidRPr="00950B1D" w:rsidRDefault="003A1E6E" w:rsidP="003A1E6E">
      <w:pPr>
        <w:rPr>
          <w:b/>
        </w:rPr>
      </w:pPr>
    </w:p>
    <w:p w:rsidR="003A1E6E" w:rsidRPr="00950B1D" w:rsidRDefault="003A1E6E" w:rsidP="003A1E6E">
      <w:r w:rsidRPr="00950B1D">
        <w:t>The note at the end of subclause</w:t>
      </w:r>
      <w:r>
        <w:t> </w:t>
      </w:r>
      <w:r w:rsidRPr="00950B1D">
        <w:t>637(1) reads as follows:</w:t>
      </w:r>
    </w:p>
    <w:p w:rsidR="003A1E6E" w:rsidRPr="00950B1D" w:rsidRDefault="003A1E6E" w:rsidP="003A1E6E"/>
    <w:p w:rsidR="003A1E6E" w:rsidRPr="00950B1D" w:rsidRDefault="003A1E6E" w:rsidP="003A1E6E">
      <w:pPr>
        <w:pStyle w:val="notetext"/>
        <w:rPr>
          <w:szCs w:val="18"/>
        </w:rPr>
      </w:pPr>
      <w:r w:rsidRPr="00950B1D">
        <w:rPr>
          <w:bCs/>
          <w:szCs w:val="18"/>
        </w:rPr>
        <w:t>Note:</w:t>
      </w:r>
      <w:r w:rsidRPr="00950B1D">
        <w:rPr>
          <w:bCs/>
          <w:szCs w:val="18"/>
        </w:rPr>
        <w:tab/>
      </w:r>
      <w:r w:rsidRPr="00950B1D">
        <w:rPr>
          <w:b/>
          <w:bCs/>
          <w:i/>
          <w:szCs w:val="18"/>
        </w:rPr>
        <w:t>s</w:t>
      </w:r>
      <w:r w:rsidRPr="00950B1D">
        <w:rPr>
          <w:b/>
          <w:bCs/>
          <w:i/>
          <w:iCs/>
          <w:szCs w:val="18"/>
        </w:rPr>
        <w:t>aleable quality</w:t>
      </w:r>
      <w:r w:rsidRPr="00950B1D">
        <w:rPr>
          <w:bCs/>
          <w:iCs/>
          <w:szCs w:val="18"/>
        </w:rPr>
        <w:t xml:space="preserve"> is defined in regulation</w:t>
      </w:r>
      <w:r>
        <w:rPr>
          <w:bCs/>
          <w:iCs/>
          <w:szCs w:val="18"/>
        </w:rPr>
        <w:t> </w:t>
      </w:r>
      <w:r w:rsidRPr="00950B1D">
        <w:rPr>
          <w:bCs/>
          <w:iCs/>
          <w:szCs w:val="18"/>
        </w:rPr>
        <w:t>22C</w:t>
      </w:r>
      <w:r w:rsidRPr="00950B1D">
        <w:rPr>
          <w:szCs w:val="18"/>
        </w:rPr>
        <w:t>.</w:t>
      </w:r>
    </w:p>
    <w:p w:rsidR="003A1E6E" w:rsidRPr="00950B1D" w:rsidRDefault="003A1E6E" w:rsidP="003A1E6E"/>
    <w:p w:rsidR="003A1E6E" w:rsidRDefault="003A1E6E" w:rsidP="003A1E6E">
      <w:r w:rsidRPr="00950B1D">
        <w:t>This compilation was editorially changed to replace the lower case “s” in “saleable” with a capital “S” to correct the punctuation and bring it into line with legislative drafting practice.</w:t>
      </w:r>
    </w:p>
    <w:p w:rsidR="00B25C49" w:rsidRDefault="00B25C49" w:rsidP="00E64E89">
      <w:pPr>
        <w:pStyle w:val="Head2"/>
      </w:pPr>
      <w:r w:rsidRPr="0031406A">
        <w:t>Fisheries Management Regulations</w:t>
      </w:r>
      <w:r>
        <w:t> </w:t>
      </w:r>
      <w:r w:rsidRPr="0031406A">
        <w:t>1992</w:t>
      </w:r>
      <w:r>
        <w:t>, Compilation No. 46, Registration Date: 30 March 2017</w:t>
      </w:r>
    </w:p>
    <w:p w:rsidR="00B25C49" w:rsidRPr="0031406A" w:rsidRDefault="00B25C49" w:rsidP="00B25C49"/>
    <w:p w:rsidR="00B25C49" w:rsidRPr="0031406A" w:rsidRDefault="00B25C49" w:rsidP="00B25C49">
      <w:pPr>
        <w:rPr>
          <w:b/>
          <w:sz w:val="24"/>
          <w:szCs w:val="24"/>
        </w:rPr>
      </w:pPr>
      <w:r w:rsidRPr="0031406A">
        <w:rPr>
          <w:b/>
          <w:sz w:val="24"/>
          <w:szCs w:val="24"/>
        </w:rPr>
        <w:t>Part</w:t>
      </w:r>
      <w:r>
        <w:rPr>
          <w:b/>
          <w:sz w:val="24"/>
          <w:szCs w:val="24"/>
        </w:rPr>
        <w:t> </w:t>
      </w:r>
      <w:r w:rsidRPr="0031406A">
        <w:rPr>
          <w:b/>
          <w:sz w:val="24"/>
          <w:szCs w:val="24"/>
        </w:rPr>
        <w:t>13A heading</w:t>
      </w:r>
    </w:p>
    <w:p w:rsidR="00B25C49" w:rsidRPr="0031406A" w:rsidRDefault="00B25C49" w:rsidP="00B25C49">
      <w:pPr>
        <w:rPr>
          <w:b/>
        </w:rPr>
      </w:pPr>
    </w:p>
    <w:p w:rsidR="00B25C49" w:rsidRPr="0031406A" w:rsidRDefault="00B25C49" w:rsidP="00B25C49">
      <w:pPr>
        <w:rPr>
          <w:b/>
        </w:rPr>
      </w:pPr>
      <w:r w:rsidRPr="0031406A">
        <w:rPr>
          <w:b/>
        </w:rPr>
        <w:t>Kind of editorial change</w:t>
      </w:r>
    </w:p>
    <w:p w:rsidR="00B25C49" w:rsidRPr="0031406A" w:rsidRDefault="00B25C49" w:rsidP="00B25C49"/>
    <w:p w:rsidR="00B25C49" w:rsidRPr="0031406A" w:rsidRDefault="00B25C49" w:rsidP="00B25C49">
      <w:pPr>
        <w:rPr>
          <w:b/>
        </w:rPr>
      </w:pPr>
      <w:r w:rsidRPr="0031406A">
        <w:t>Removal of redundant text</w:t>
      </w:r>
    </w:p>
    <w:p w:rsidR="00B25C49" w:rsidRPr="0031406A" w:rsidRDefault="00B25C49" w:rsidP="00B25C49"/>
    <w:p w:rsidR="00B25C49" w:rsidRPr="0031406A" w:rsidRDefault="00B25C49" w:rsidP="00B25C49">
      <w:pPr>
        <w:rPr>
          <w:b/>
        </w:rPr>
      </w:pPr>
      <w:r w:rsidRPr="0031406A">
        <w:rPr>
          <w:b/>
        </w:rPr>
        <w:t>Details of editorial change</w:t>
      </w:r>
    </w:p>
    <w:p w:rsidR="00B25C49" w:rsidRPr="0031406A" w:rsidRDefault="00B25C49" w:rsidP="00B25C49">
      <w:pPr>
        <w:rPr>
          <w:b/>
        </w:rPr>
      </w:pPr>
    </w:p>
    <w:p w:rsidR="00B25C49" w:rsidRPr="0031406A" w:rsidRDefault="00B25C49" w:rsidP="00B25C49">
      <w:r w:rsidRPr="0031406A">
        <w:t>Division</w:t>
      </w:r>
      <w:r>
        <w:t> </w:t>
      </w:r>
      <w:r w:rsidRPr="0031406A">
        <w:t>1 of Part</w:t>
      </w:r>
      <w:r>
        <w:t> </w:t>
      </w:r>
      <w:r w:rsidRPr="0031406A">
        <w:t>13A was self</w:t>
      </w:r>
      <w:r>
        <w:noBreakHyphen/>
      </w:r>
      <w:r w:rsidRPr="0031406A">
        <w:t>repealed by regulation</w:t>
      </w:r>
      <w:r>
        <w:t> </w:t>
      </w:r>
      <w:r w:rsidRPr="0031406A">
        <w:t>80 on 30</w:t>
      </w:r>
      <w:r>
        <w:t> </w:t>
      </w:r>
      <w:r w:rsidRPr="0031406A">
        <w:t>June 2016.</w:t>
      </w:r>
    </w:p>
    <w:p w:rsidR="00B25C49" w:rsidRPr="0031406A" w:rsidRDefault="00B25C49" w:rsidP="00B25C49"/>
    <w:p w:rsidR="00B25C49" w:rsidRPr="0031406A" w:rsidRDefault="00B25C49" w:rsidP="00B25C49">
      <w:r w:rsidRPr="0031406A">
        <w:t>This action left a Part</w:t>
      </w:r>
      <w:r>
        <w:t> </w:t>
      </w:r>
      <w:r w:rsidRPr="0031406A">
        <w:t>13A heading and Part</w:t>
      </w:r>
      <w:r>
        <w:t> </w:t>
      </w:r>
      <w:r w:rsidRPr="0031406A">
        <w:t>13A does not contain any regulations.</w:t>
      </w:r>
    </w:p>
    <w:p w:rsidR="00B25C49" w:rsidRPr="0031406A" w:rsidRDefault="00B25C49" w:rsidP="00B25C49"/>
    <w:p w:rsidR="00B25C49" w:rsidRDefault="00B25C49" w:rsidP="00B25C49">
      <w:r w:rsidRPr="0031406A">
        <w:t>This compilation was editorially changed to repeal the Part</w:t>
      </w:r>
      <w:r>
        <w:t> </w:t>
      </w:r>
      <w:r w:rsidRPr="0031406A">
        <w:t>13A heading</w:t>
      </w:r>
      <w:r>
        <w:t>.</w:t>
      </w:r>
    </w:p>
    <w:p w:rsidR="00B4247D" w:rsidRDefault="00B4247D" w:rsidP="00E64E89">
      <w:pPr>
        <w:pStyle w:val="Head2"/>
      </w:pPr>
      <w:r w:rsidRPr="003D0BDC">
        <w:lastRenderedPageBreak/>
        <w:t>Primary Industries (Customs) Charges Regulations</w:t>
      </w:r>
      <w:r>
        <w:t> </w:t>
      </w:r>
      <w:r w:rsidRPr="003D0BDC">
        <w:t>2000</w:t>
      </w:r>
      <w:r>
        <w:t>, Compilation No. 69, Registration Date: 30 March 2017</w:t>
      </w:r>
    </w:p>
    <w:p w:rsidR="00B4247D" w:rsidRPr="003D0BDC" w:rsidRDefault="00B4247D" w:rsidP="00B4247D"/>
    <w:p w:rsidR="00B4247D" w:rsidRPr="003D0BDC" w:rsidRDefault="00B4247D" w:rsidP="00B4247D">
      <w:pPr>
        <w:rPr>
          <w:b/>
          <w:sz w:val="24"/>
          <w:szCs w:val="24"/>
        </w:rPr>
      </w:pPr>
      <w:r w:rsidRPr="003D0BDC">
        <w:rPr>
          <w:b/>
          <w:sz w:val="24"/>
          <w:szCs w:val="24"/>
        </w:rPr>
        <w:t>Clauses</w:t>
      </w:r>
      <w:r>
        <w:rPr>
          <w:b/>
          <w:sz w:val="24"/>
          <w:szCs w:val="24"/>
        </w:rPr>
        <w:t> </w:t>
      </w:r>
      <w:r w:rsidRPr="003D0BDC">
        <w:rPr>
          <w:b/>
          <w:sz w:val="24"/>
          <w:szCs w:val="24"/>
        </w:rPr>
        <w:t>4.3 and 4.4 of Schedule</w:t>
      </w:r>
      <w:r>
        <w:rPr>
          <w:b/>
          <w:sz w:val="24"/>
          <w:szCs w:val="24"/>
        </w:rPr>
        <w:t> </w:t>
      </w:r>
      <w:r w:rsidRPr="003D0BDC">
        <w:rPr>
          <w:b/>
          <w:sz w:val="24"/>
          <w:szCs w:val="24"/>
        </w:rPr>
        <w:t>10</w:t>
      </w:r>
    </w:p>
    <w:p w:rsidR="00B4247D" w:rsidRPr="003D0BDC" w:rsidRDefault="00B4247D" w:rsidP="00B4247D">
      <w:pPr>
        <w:rPr>
          <w:b/>
        </w:rPr>
      </w:pPr>
    </w:p>
    <w:p w:rsidR="00B4247D" w:rsidRPr="003D0BDC" w:rsidRDefault="00B4247D" w:rsidP="00B4247D">
      <w:pPr>
        <w:rPr>
          <w:b/>
        </w:rPr>
      </w:pPr>
      <w:r w:rsidRPr="003D0BDC">
        <w:rPr>
          <w:b/>
        </w:rPr>
        <w:t>Kind of editorial change</w:t>
      </w:r>
    </w:p>
    <w:p w:rsidR="00B4247D" w:rsidRPr="003D0BDC" w:rsidRDefault="00B4247D" w:rsidP="00B4247D"/>
    <w:p w:rsidR="00B4247D" w:rsidRPr="003D0BDC" w:rsidRDefault="00B4247D" w:rsidP="00B4247D">
      <w:pPr>
        <w:rPr>
          <w:szCs w:val="22"/>
        </w:rPr>
      </w:pPr>
      <w:r w:rsidRPr="003D0BDC">
        <w:rPr>
          <w:szCs w:val="22"/>
        </w:rPr>
        <w:t>Correct a typographical error</w:t>
      </w:r>
    </w:p>
    <w:p w:rsidR="00B4247D" w:rsidRPr="003D0BDC" w:rsidRDefault="00B4247D" w:rsidP="00B4247D"/>
    <w:p w:rsidR="00B4247D" w:rsidRPr="003D0BDC" w:rsidRDefault="00B4247D" w:rsidP="00B4247D">
      <w:pPr>
        <w:rPr>
          <w:b/>
        </w:rPr>
      </w:pPr>
      <w:r w:rsidRPr="003D0BDC">
        <w:rPr>
          <w:b/>
        </w:rPr>
        <w:t>Details of editorial change</w:t>
      </w:r>
    </w:p>
    <w:p w:rsidR="00B4247D" w:rsidRPr="003D0BDC" w:rsidRDefault="00B4247D" w:rsidP="00B4247D">
      <w:pPr>
        <w:rPr>
          <w:b/>
        </w:rPr>
      </w:pPr>
    </w:p>
    <w:p w:rsidR="00B4247D" w:rsidRPr="003D0BDC" w:rsidRDefault="00B4247D" w:rsidP="00B4247D">
      <w:pPr>
        <w:rPr>
          <w:szCs w:val="22"/>
        </w:rPr>
      </w:pPr>
      <w:r w:rsidRPr="003D0BDC">
        <w:rPr>
          <w:szCs w:val="22"/>
        </w:rPr>
        <w:t>Regulation</w:t>
      </w:r>
      <w:r>
        <w:rPr>
          <w:szCs w:val="22"/>
        </w:rPr>
        <w:t> </w:t>
      </w:r>
      <w:r w:rsidRPr="003D0BDC">
        <w:rPr>
          <w:szCs w:val="22"/>
        </w:rPr>
        <w:t xml:space="preserve">3 contains the following definition: </w:t>
      </w:r>
    </w:p>
    <w:p w:rsidR="00B4247D" w:rsidRPr="003D0BDC" w:rsidRDefault="00B4247D" w:rsidP="00B4247D">
      <w:pPr>
        <w:pStyle w:val="Definition"/>
      </w:pPr>
      <w:r w:rsidRPr="003D0BDC">
        <w:rPr>
          <w:b/>
          <w:i/>
        </w:rPr>
        <w:t xml:space="preserve">Customs Charges Act </w:t>
      </w:r>
      <w:r w:rsidRPr="003D0BDC">
        <w:t xml:space="preserve">means the </w:t>
      </w:r>
      <w:r w:rsidRPr="003D0BDC">
        <w:rPr>
          <w:i/>
        </w:rPr>
        <w:t>Primary Industries (Customs) Charges Act 1999</w:t>
      </w:r>
      <w:r w:rsidRPr="003D0BDC">
        <w:t>.</w:t>
      </w:r>
    </w:p>
    <w:p w:rsidR="00B4247D" w:rsidRPr="003D0BDC" w:rsidRDefault="00B4247D" w:rsidP="00B4247D">
      <w:pPr>
        <w:rPr>
          <w:szCs w:val="22"/>
        </w:rPr>
      </w:pPr>
    </w:p>
    <w:p w:rsidR="00B4247D" w:rsidRPr="003D0BDC" w:rsidRDefault="00B4247D" w:rsidP="00B4247D">
      <w:pPr>
        <w:rPr>
          <w:szCs w:val="22"/>
        </w:rPr>
      </w:pPr>
      <w:r w:rsidRPr="003D0BDC">
        <w:rPr>
          <w:szCs w:val="22"/>
        </w:rPr>
        <w:t>Clauses</w:t>
      </w:r>
      <w:r>
        <w:rPr>
          <w:szCs w:val="22"/>
        </w:rPr>
        <w:t> </w:t>
      </w:r>
      <w:r w:rsidRPr="003D0BDC">
        <w:rPr>
          <w:szCs w:val="22"/>
        </w:rPr>
        <w:t>4.3 and 4.4 of Schedule</w:t>
      </w:r>
      <w:r>
        <w:rPr>
          <w:szCs w:val="22"/>
        </w:rPr>
        <w:t> </w:t>
      </w:r>
      <w:r w:rsidRPr="003D0BDC">
        <w:rPr>
          <w:szCs w:val="22"/>
        </w:rPr>
        <w:t>10 refer to the “Custom Charges Act” instead of the “Customs Charges Act”.</w:t>
      </w:r>
    </w:p>
    <w:p w:rsidR="00B4247D" w:rsidRPr="003D0BDC" w:rsidRDefault="00B4247D" w:rsidP="00B4247D">
      <w:pPr>
        <w:rPr>
          <w:szCs w:val="22"/>
        </w:rPr>
      </w:pPr>
    </w:p>
    <w:p w:rsidR="00B4247D" w:rsidRPr="00B4247D" w:rsidRDefault="00B4247D" w:rsidP="00B4247D">
      <w:pPr>
        <w:rPr>
          <w:szCs w:val="22"/>
        </w:rPr>
      </w:pPr>
      <w:r w:rsidRPr="003D0BDC">
        <w:rPr>
          <w:szCs w:val="22"/>
        </w:rPr>
        <w:t>This compilation was editorially changed to add the letter “s” to the end of the word “Custom” in clauses</w:t>
      </w:r>
      <w:r>
        <w:rPr>
          <w:szCs w:val="22"/>
        </w:rPr>
        <w:t> </w:t>
      </w:r>
      <w:r w:rsidRPr="003D0BDC">
        <w:rPr>
          <w:szCs w:val="22"/>
        </w:rPr>
        <w:t>4.3 and 4.4 of Schedule</w:t>
      </w:r>
      <w:r>
        <w:rPr>
          <w:szCs w:val="22"/>
        </w:rPr>
        <w:t> </w:t>
      </w:r>
      <w:r w:rsidRPr="003D0BDC">
        <w:rPr>
          <w:szCs w:val="22"/>
        </w:rPr>
        <w:t>10 to correct this typographical error.</w:t>
      </w:r>
    </w:p>
    <w:p w:rsidR="00C154FF" w:rsidRDefault="00C154FF" w:rsidP="00E64E89">
      <w:pPr>
        <w:pStyle w:val="Head2"/>
      </w:pPr>
      <w:r w:rsidRPr="00D055C3">
        <w:t>Administrative Appeals Tribunal Act 1975</w:t>
      </w:r>
      <w:r>
        <w:t>, Compilation No. 45, Registration Date: 22 March 2017</w:t>
      </w:r>
    </w:p>
    <w:p w:rsidR="00C154FF" w:rsidRPr="00D055C3" w:rsidRDefault="00C154FF" w:rsidP="00C154FF"/>
    <w:p w:rsidR="00C154FF" w:rsidRPr="00D055C3" w:rsidRDefault="00C154FF" w:rsidP="00C154FF">
      <w:pPr>
        <w:rPr>
          <w:b/>
          <w:sz w:val="24"/>
          <w:szCs w:val="24"/>
        </w:rPr>
      </w:pPr>
      <w:r w:rsidRPr="00D055C3">
        <w:rPr>
          <w:b/>
          <w:sz w:val="24"/>
          <w:szCs w:val="24"/>
        </w:rPr>
        <w:t>Subsection</w:t>
      </w:r>
      <w:r>
        <w:rPr>
          <w:b/>
          <w:sz w:val="24"/>
          <w:szCs w:val="24"/>
        </w:rPr>
        <w:t> </w:t>
      </w:r>
      <w:r w:rsidRPr="00D055C3">
        <w:rPr>
          <w:b/>
          <w:sz w:val="24"/>
          <w:szCs w:val="24"/>
        </w:rPr>
        <w:t>43(4)</w:t>
      </w:r>
    </w:p>
    <w:p w:rsidR="00C154FF" w:rsidRPr="00D055C3" w:rsidRDefault="00C154FF" w:rsidP="00C154FF">
      <w:pPr>
        <w:rPr>
          <w:b/>
        </w:rPr>
      </w:pPr>
    </w:p>
    <w:p w:rsidR="00C154FF" w:rsidRPr="00D055C3" w:rsidRDefault="00C154FF" w:rsidP="00C154FF">
      <w:pPr>
        <w:rPr>
          <w:b/>
        </w:rPr>
      </w:pPr>
      <w:r w:rsidRPr="00D055C3">
        <w:rPr>
          <w:b/>
        </w:rPr>
        <w:t>Kind of editorial change</w:t>
      </w:r>
    </w:p>
    <w:p w:rsidR="00C154FF" w:rsidRPr="00D055C3" w:rsidRDefault="00C154FF" w:rsidP="00C154FF"/>
    <w:p w:rsidR="00C154FF" w:rsidRPr="00D055C3" w:rsidRDefault="00C154FF" w:rsidP="00C154FF">
      <w:pPr>
        <w:rPr>
          <w:b/>
        </w:rPr>
      </w:pPr>
      <w:r w:rsidRPr="00D055C3">
        <w:t>Change to typeface</w:t>
      </w:r>
    </w:p>
    <w:p w:rsidR="00C154FF" w:rsidRPr="00D055C3" w:rsidRDefault="00C154FF" w:rsidP="00C154FF"/>
    <w:p w:rsidR="00C154FF" w:rsidRPr="00D055C3" w:rsidRDefault="00C154FF" w:rsidP="00C154FF">
      <w:pPr>
        <w:rPr>
          <w:b/>
        </w:rPr>
      </w:pPr>
      <w:r w:rsidRPr="00D055C3">
        <w:rPr>
          <w:b/>
        </w:rPr>
        <w:t>Details of editorial change</w:t>
      </w:r>
    </w:p>
    <w:p w:rsidR="00C154FF" w:rsidRPr="00D055C3" w:rsidRDefault="00C154FF" w:rsidP="00C154FF">
      <w:pPr>
        <w:rPr>
          <w:b/>
        </w:rPr>
      </w:pPr>
    </w:p>
    <w:p w:rsidR="00C154FF" w:rsidRPr="00D055C3" w:rsidRDefault="00C154FF" w:rsidP="00C154FF">
      <w:r w:rsidRPr="00D055C3">
        <w:rPr>
          <w:szCs w:val="22"/>
        </w:rPr>
        <w:t xml:space="preserve">This compilation was editorially changed to update an occurrence of the words </w:t>
      </w:r>
      <w:r w:rsidRPr="00D055C3">
        <w:rPr>
          <w:i/>
          <w:szCs w:val="22"/>
        </w:rPr>
        <w:t>prima facie</w:t>
      </w:r>
      <w:r w:rsidRPr="00D055C3">
        <w:rPr>
          <w:szCs w:val="22"/>
        </w:rPr>
        <w:t xml:space="preserve"> in italics to regular font</w:t>
      </w:r>
      <w:r w:rsidRPr="00D055C3">
        <w:t>.</w:t>
      </w:r>
    </w:p>
    <w:p w:rsidR="00C154FF" w:rsidRPr="00D055C3" w:rsidRDefault="00C154FF" w:rsidP="00C154FF"/>
    <w:p w:rsidR="00C154FF" w:rsidRPr="00D055C3" w:rsidRDefault="00C154FF" w:rsidP="00C154FF"/>
    <w:p w:rsidR="00C154FF" w:rsidRPr="00D055C3" w:rsidRDefault="00C154FF" w:rsidP="00C154FF">
      <w:pPr>
        <w:keepNext/>
        <w:rPr>
          <w:b/>
          <w:sz w:val="24"/>
          <w:szCs w:val="24"/>
        </w:rPr>
      </w:pPr>
      <w:r w:rsidRPr="00D055C3">
        <w:rPr>
          <w:b/>
          <w:sz w:val="24"/>
          <w:szCs w:val="24"/>
        </w:rPr>
        <w:t>Paragraph 51(1)(f)</w:t>
      </w:r>
    </w:p>
    <w:p w:rsidR="00C154FF" w:rsidRPr="00D055C3" w:rsidRDefault="00C154FF" w:rsidP="00C154FF">
      <w:pPr>
        <w:keepNext/>
        <w:rPr>
          <w:b/>
        </w:rPr>
      </w:pPr>
    </w:p>
    <w:p w:rsidR="00C154FF" w:rsidRPr="00D055C3" w:rsidRDefault="00C154FF" w:rsidP="00C154FF">
      <w:pPr>
        <w:rPr>
          <w:b/>
        </w:rPr>
      </w:pPr>
      <w:r w:rsidRPr="00D055C3">
        <w:rPr>
          <w:b/>
        </w:rPr>
        <w:t>Kind of editorial change</w:t>
      </w:r>
    </w:p>
    <w:p w:rsidR="00C154FF" w:rsidRPr="00D055C3" w:rsidRDefault="00C154FF" w:rsidP="00C154FF"/>
    <w:p w:rsidR="00C154FF" w:rsidRPr="00D055C3" w:rsidRDefault="00C154FF" w:rsidP="00C154FF">
      <w:pPr>
        <w:rPr>
          <w:b/>
        </w:rPr>
      </w:pPr>
      <w:r w:rsidRPr="00D055C3">
        <w:t>Removal of redundant text</w:t>
      </w:r>
    </w:p>
    <w:p w:rsidR="00C154FF" w:rsidRPr="00D055C3" w:rsidRDefault="00C154FF" w:rsidP="00C154FF"/>
    <w:p w:rsidR="00C154FF" w:rsidRPr="00D055C3" w:rsidRDefault="00C154FF" w:rsidP="00F24966">
      <w:pPr>
        <w:keepNext/>
        <w:rPr>
          <w:b/>
        </w:rPr>
      </w:pPr>
      <w:r w:rsidRPr="00D055C3">
        <w:rPr>
          <w:b/>
        </w:rPr>
        <w:t>Details of editorial change</w:t>
      </w:r>
    </w:p>
    <w:p w:rsidR="00C154FF" w:rsidRPr="00D055C3" w:rsidRDefault="00C154FF" w:rsidP="00F24966">
      <w:pPr>
        <w:keepNext/>
        <w:rPr>
          <w:b/>
        </w:rPr>
      </w:pPr>
    </w:p>
    <w:p w:rsidR="00C154FF" w:rsidRPr="00D055C3" w:rsidRDefault="00C154FF" w:rsidP="00C154FF">
      <w:pPr>
        <w:rPr>
          <w:szCs w:val="22"/>
        </w:rPr>
      </w:pPr>
      <w:r w:rsidRPr="00D055C3">
        <w:rPr>
          <w:szCs w:val="22"/>
        </w:rPr>
        <w:t>Paragraph 51(1)(f) contains two consecutive occurrences of the word “and”.</w:t>
      </w:r>
    </w:p>
    <w:p w:rsidR="00C154FF" w:rsidRPr="00D055C3" w:rsidRDefault="00C154FF" w:rsidP="00C154FF">
      <w:pPr>
        <w:rPr>
          <w:szCs w:val="22"/>
        </w:rPr>
      </w:pPr>
    </w:p>
    <w:p w:rsidR="00C154FF" w:rsidRDefault="00C154FF" w:rsidP="00C154FF">
      <w:r w:rsidRPr="00C154FF">
        <w:rPr>
          <w:szCs w:val="22"/>
        </w:rPr>
        <w:t>This compilation was editorially changed to omit the redundant word “and”</w:t>
      </w:r>
      <w:r>
        <w:rPr>
          <w:szCs w:val="22"/>
        </w:rPr>
        <w:t>.</w:t>
      </w:r>
    </w:p>
    <w:p w:rsidR="00186AF6" w:rsidRDefault="00186AF6" w:rsidP="00B81553">
      <w:pPr>
        <w:pStyle w:val="Head2"/>
      </w:pPr>
      <w:r w:rsidRPr="002067DD">
        <w:lastRenderedPageBreak/>
        <w:t>Disability Services Act 1986</w:t>
      </w:r>
      <w:r>
        <w:t>, Compilation No. 28, Registration Date: 22 March 2017</w:t>
      </w:r>
    </w:p>
    <w:p w:rsidR="00186AF6" w:rsidRPr="002067DD" w:rsidRDefault="00186AF6" w:rsidP="00B81553">
      <w:pPr>
        <w:keepNext/>
      </w:pPr>
    </w:p>
    <w:p w:rsidR="00186AF6" w:rsidRPr="002067DD" w:rsidRDefault="00186AF6" w:rsidP="00186AF6">
      <w:pPr>
        <w:rPr>
          <w:b/>
          <w:sz w:val="24"/>
          <w:szCs w:val="24"/>
        </w:rPr>
      </w:pPr>
      <w:r w:rsidRPr="002067DD">
        <w:rPr>
          <w:b/>
          <w:sz w:val="24"/>
          <w:szCs w:val="24"/>
        </w:rPr>
        <w:t>Subsection</w:t>
      </w:r>
      <w:r>
        <w:rPr>
          <w:b/>
          <w:sz w:val="24"/>
          <w:szCs w:val="24"/>
        </w:rPr>
        <w:t> </w:t>
      </w:r>
      <w:r w:rsidRPr="002067DD">
        <w:rPr>
          <w:b/>
          <w:sz w:val="24"/>
          <w:szCs w:val="24"/>
        </w:rPr>
        <w:t>23(10)</w:t>
      </w:r>
    </w:p>
    <w:p w:rsidR="00186AF6" w:rsidRPr="002067DD" w:rsidRDefault="00186AF6" w:rsidP="00186AF6">
      <w:pPr>
        <w:rPr>
          <w:b/>
        </w:rPr>
      </w:pPr>
    </w:p>
    <w:p w:rsidR="00186AF6" w:rsidRPr="002067DD" w:rsidRDefault="00186AF6" w:rsidP="00186AF6">
      <w:pPr>
        <w:rPr>
          <w:b/>
        </w:rPr>
      </w:pPr>
      <w:r w:rsidRPr="002067DD">
        <w:rPr>
          <w:b/>
        </w:rPr>
        <w:t>Kind of editorial change</w:t>
      </w:r>
    </w:p>
    <w:p w:rsidR="00186AF6" w:rsidRPr="002067DD" w:rsidRDefault="00186AF6" w:rsidP="00186AF6">
      <w:pPr>
        <w:rPr>
          <w:b/>
        </w:rPr>
      </w:pPr>
    </w:p>
    <w:p w:rsidR="00186AF6" w:rsidRPr="002067DD" w:rsidRDefault="00186AF6" w:rsidP="00186AF6">
      <w:r w:rsidRPr="002067DD">
        <w:t>Give effect to the misdescribed amendment as intended and changes to punctuation</w:t>
      </w:r>
    </w:p>
    <w:p w:rsidR="00186AF6" w:rsidRPr="002067DD" w:rsidRDefault="00186AF6" w:rsidP="00186AF6">
      <w:pPr>
        <w:pStyle w:val="EnStatementHeading0"/>
      </w:pPr>
    </w:p>
    <w:p w:rsidR="00186AF6" w:rsidRPr="002067DD" w:rsidRDefault="00186AF6" w:rsidP="00186AF6">
      <w:pPr>
        <w:rPr>
          <w:b/>
        </w:rPr>
      </w:pPr>
      <w:r w:rsidRPr="002067DD">
        <w:rPr>
          <w:b/>
        </w:rPr>
        <w:t>Details of editorial change</w:t>
      </w:r>
    </w:p>
    <w:p w:rsidR="00186AF6" w:rsidRPr="002067DD" w:rsidRDefault="00186AF6" w:rsidP="00186AF6">
      <w:pPr>
        <w:rPr>
          <w:b/>
        </w:rPr>
      </w:pPr>
    </w:p>
    <w:p w:rsidR="00186AF6" w:rsidRPr="002067DD" w:rsidRDefault="00186AF6" w:rsidP="00186AF6">
      <w:r w:rsidRPr="002067DD">
        <w:t>Schedule</w:t>
      </w:r>
      <w:r>
        <w:t> </w:t>
      </w:r>
      <w:r w:rsidRPr="002067DD">
        <w:t>1 item</w:t>
      </w:r>
      <w:r>
        <w:t> </w:t>
      </w:r>
      <w:r w:rsidRPr="002067DD">
        <w:t xml:space="preserve">19 of the </w:t>
      </w:r>
      <w:r w:rsidRPr="002067DD">
        <w:rPr>
          <w:i/>
        </w:rPr>
        <w:t>Statute Update (A.C.T. Self</w:t>
      </w:r>
      <w:r>
        <w:rPr>
          <w:i/>
        </w:rPr>
        <w:noBreakHyphen/>
      </w:r>
      <w:r w:rsidRPr="002067DD">
        <w:rPr>
          <w:i/>
        </w:rPr>
        <w:t>Government (Consequential Provisions) Regulations) Act 2017</w:t>
      </w:r>
      <w:r w:rsidRPr="002067DD">
        <w:t xml:space="preserve"> instructs:</w:t>
      </w:r>
    </w:p>
    <w:p w:rsidR="00186AF6" w:rsidRPr="002067DD" w:rsidRDefault="00186AF6" w:rsidP="00186AF6"/>
    <w:p w:rsidR="00186AF6" w:rsidRPr="002067DD" w:rsidRDefault="00186AF6" w:rsidP="00186AF6">
      <w:pPr>
        <w:ind w:left="720"/>
      </w:pPr>
      <w:r w:rsidRPr="002067DD">
        <w:t>After “States,”, insert “of the Australian Capital Territory,”</w:t>
      </w:r>
    </w:p>
    <w:p w:rsidR="00186AF6" w:rsidRPr="002067DD" w:rsidRDefault="00186AF6" w:rsidP="00186AF6"/>
    <w:p w:rsidR="00186AF6" w:rsidRPr="002067DD" w:rsidRDefault="00186AF6" w:rsidP="00186AF6">
      <w:r w:rsidRPr="002067DD">
        <w:t>“States,” does not appear in subsection</w:t>
      </w:r>
      <w:r>
        <w:t> </w:t>
      </w:r>
      <w:r w:rsidRPr="002067DD">
        <w:t>23(10). However the word “States” does appear.</w:t>
      </w:r>
    </w:p>
    <w:p w:rsidR="00186AF6" w:rsidRPr="002067DD" w:rsidRDefault="00186AF6" w:rsidP="00186AF6"/>
    <w:p w:rsidR="00186AF6" w:rsidRPr="002067DD" w:rsidRDefault="00186AF6" w:rsidP="00186AF6">
      <w:r w:rsidRPr="002067DD">
        <w:t>This compilation was editorially changed to insert after “States”, “, of the Australian Capital Territory”. This editorial change gives effect to the misdescribed amendment as intended and makes changes to punctuation.</w:t>
      </w:r>
    </w:p>
    <w:p w:rsidR="00186AF6" w:rsidRPr="002067DD" w:rsidRDefault="00186AF6" w:rsidP="00186AF6"/>
    <w:p w:rsidR="00186AF6" w:rsidRPr="002067DD" w:rsidRDefault="00186AF6" w:rsidP="00186AF6"/>
    <w:p w:rsidR="00186AF6" w:rsidRPr="002067DD" w:rsidRDefault="00186AF6" w:rsidP="000B0B1A">
      <w:pPr>
        <w:keepNext/>
        <w:rPr>
          <w:b/>
          <w:sz w:val="24"/>
          <w:szCs w:val="24"/>
        </w:rPr>
      </w:pPr>
      <w:r w:rsidRPr="002067DD">
        <w:rPr>
          <w:b/>
          <w:sz w:val="24"/>
          <w:szCs w:val="24"/>
        </w:rPr>
        <w:t>Subsection</w:t>
      </w:r>
      <w:r>
        <w:rPr>
          <w:b/>
          <w:sz w:val="24"/>
          <w:szCs w:val="24"/>
        </w:rPr>
        <w:t> </w:t>
      </w:r>
      <w:r w:rsidRPr="002067DD">
        <w:rPr>
          <w:b/>
          <w:sz w:val="24"/>
          <w:szCs w:val="24"/>
        </w:rPr>
        <w:t>27(5)</w:t>
      </w:r>
    </w:p>
    <w:p w:rsidR="00186AF6" w:rsidRPr="002067DD" w:rsidRDefault="00186AF6" w:rsidP="000B0B1A">
      <w:pPr>
        <w:keepNext/>
        <w:rPr>
          <w:b/>
        </w:rPr>
      </w:pPr>
    </w:p>
    <w:p w:rsidR="00186AF6" w:rsidRPr="002067DD" w:rsidRDefault="00186AF6" w:rsidP="00186AF6">
      <w:pPr>
        <w:rPr>
          <w:b/>
        </w:rPr>
      </w:pPr>
      <w:r w:rsidRPr="002067DD">
        <w:rPr>
          <w:b/>
        </w:rPr>
        <w:t>Kind of editorial change</w:t>
      </w:r>
    </w:p>
    <w:p w:rsidR="00186AF6" w:rsidRPr="002067DD" w:rsidRDefault="00186AF6" w:rsidP="00186AF6">
      <w:pPr>
        <w:rPr>
          <w:b/>
        </w:rPr>
      </w:pPr>
    </w:p>
    <w:p w:rsidR="00186AF6" w:rsidRPr="002067DD" w:rsidRDefault="00186AF6" w:rsidP="00186AF6">
      <w:r w:rsidRPr="002067DD">
        <w:t>Give effect to the misdescribed amendment as intended and changes to punctuation</w:t>
      </w:r>
    </w:p>
    <w:p w:rsidR="00186AF6" w:rsidRPr="002067DD" w:rsidRDefault="00186AF6" w:rsidP="00186AF6">
      <w:pPr>
        <w:pStyle w:val="EnStatementHeading0"/>
      </w:pPr>
    </w:p>
    <w:p w:rsidR="00186AF6" w:rsidRPr="002067DD" w:rsidRDefault="00186AF6" w:rsidP="00186AF6">
      <w:pPr>
        <w:keepNext/>
        <w:rPr>
          <w:b/>
        </w:rPr>
      </w:pPr>
      <w:r w:rsidRPr="002067DD">
        <w:rPr>
          <w:b/>
        </w:rPr>
        <w:t>Details of editorial change</w:t>
      </w:r>
    </w:p>
    <w:p w:rsidR="00186AF6" w:rsidRPr="002067DD" w:rsidRDefault="00186AF6" w:rsidP="00186AF6">
      <w:pPr>
        <w:keepNext/>
        <w:rPr>
          <w:b/>
        </w:rPr>
      </w:pPr>
    </w:p>
    <w:p w:rsidR="00186AF6" w:rsidRPr="002067DD" w:rsidRDefault="00186AF6" w:rsidP="00186AF6">
      <w:r w:rsidRPr="002067DD">
        <w:t>Schedule</w:t>
      </w:r>
      <w:r>
        <w:t> </w:t>
      </w:r>
      <w:r w:rsidRPr="002067DD">
        <w:t>1 item</w:t>
      </w:r>
      <w:r>
        <w:t> </w:t>
      </w:r>
      <w:r w:rsidRPr="002067DD">
        <w:t xml:space="preserve">20 of the </w:t>
      </w:r>
      <w:r w:rsidRPr="002067DD">
        <w:rPr>
          <w:i/>
        </w:rPr>
        <w:t>Statute Update (A.C.T. Self</w:t>
      </w:r>
      <w:r>
        <w:rPr>
          <w:i/>
        </w:rPr>
        <w:noBreakHyphen/>
      </w:r>
      <w:r w:rsidRPr="002067DD">
        <w:rPr>
          <w:i/>
        </w:rPr>
        <w:t>Government (Consequential Provisions) Regulations) Act 2017</w:t>
      </w:r>
      <w:r w:rsidRPr="002067DD">
        <w:t xml:space="preserve"> instructs:</w:t>
      </w:r>
    </w:p>
    <w:p w:rsidR="00186AF6" w:rsidRPr="002067DD" w:rsidRDefault="00186AF6" w:rsidP="00186AF6"/>
    <w:p w:rsidR="00186AF6" w:rsidRPr="002067DD" w:rsidRDefault="00186AF6" w:rsidP="00186AF6">
      <w:pPr>
        <w:ind w:left="720"/>
      </w:pPr>
      <w:r w:rsidRPr="002067DD">
        <w:t>After “States,”, insert “of the Australian Capital Territory,”</w:t>
      </w:r>
    </w:p>
    <w:p w:rsidR="00186AF6" w:rsidRPr="002067DD" w:rsidRDefault="00186AF6" w:rsidP="00186AF6"/>
    <w:p w:rsidR="00186AF6" w:rsidRPr="002067DD" w:rsidRDefault="00186AF6" w:rsidP="00186AF6">
      <w:r w:rsidRPr="002067DD">
        <w:t>“States,” does not appear in subsection</w:t>
      </w:r>
      <w:r>
        <w:t> </w:t>
      </w:r>
      <w:r w:rsidRPr="002067DD">
        <w:t>27(5). However the word “States” does appear.</w:t>
      </w:r>
    </w:p>
    <w:p w:rsidR="00186AF6" w:rsidRPr="002067DD" w:rsidRDefault="00186AF6" w:rsidP="00186AF6"/>
    <w:p w:rsidR="00186AF6" w:rsidRPr="002067DD" w:rsidRDefault="00186AF6" w:rsidP="00186AF6">
      <w:r w:rsidRPr="002067DD">
        <w:t>This compilation was editorially changed to insert after “States”, “, of the Australian Capital Territory”. This editorial change gives effect to the misdescribed amendment as intended and makes changes to punctuation.</w:t>
      </w:r>
    </w:p>
    <w:p w:rsidR="00F2318F" w:rsidRDefault="00F2318F" w:rsidP="00F24966">
      <w:pPr>
        <w:pStyle w:val="Head2"/>
      </w:pPr>
      <w:r w:rsidRPr="00EB1F5F">
        <w:t>Customs Tariff Act 1995</w:t>
      </w:r>
      <w:r>
        <w:t>, Compilation No. 64, Registration Date: 17 March 2017</w:t>
      </w:r>
    </w:p>
    <w:p w:rsidR="00F2318F" w:rsidRPr="00EB1F5F" w:rsidRDefault="00F2318F" w:rsidP="00F24966">
      <w:pPr>
        <w:keepNext/>
      </w:pPr>
    </w:p>
    <w:p w:rsidR="00F2318F" w:rsidRPr="00EB1F5F" w:rsidRDefault="00F2318F" w:rsidP="00F24966">
      <w:pPr>
        <w:keepNext/>
        <w:rPr>
          <w:b/>
          <w:sz w:val="24"/>
          <w:szCs w:val="24"/>
        </w:rPr>
      </w:pPr>
      <w:r w:rsidRPr="00EB1F5F">
        <w:rPr>
          <w:b/>
          <w:sz w:val="24"/>
          <w:szCs w:val="24"/>
        </w:rPr>
        <w:t>Additional Note heading in Chapter</w:t>
      </w:r>
      <w:r>
        <w:rPr>
          <w:b/>
          <w:sz w:val="24"/>
          <w:szCs w:val="24"/>
        </w:rPr>
        <w:t> </w:t>
      </w:r>
      <w:r w:rsidRPr="00EB1F5F">
        <w:rPr>
          <w:b/>
          <w:sz w:val="24"/>
          <w:szCs w:val="24"/>
        </w:rPr>
        <w:t>44 of Schedule</w:t>
      </w:r>
      <w:r>
        <w:rPr>
          <w:b/>
          <w:sz w:val="24"/>
          <w:szCs w:val="24"/>
        </w:rPr>
        <w:t> </w:t>
      </w:r>
      <w:r w:rsidRPr="00EB1F5F">
        <w:rPr>
          <w:b/>
          <w:sz w:val="24"/>
          <w:szCs w:val="24"/>
        </w:rPr>
        <w:t>3</w:t>
      </w:r>
    </w:p>
    <w:p w:rsidR="00F2318F" w:rsidRPr="00EB1F5F" w:rsidRDefault="00F2318F" w:rsidP="00F2318F"/>
    <w:p w:rsidR="00F2318F" w:rsidRPr="00EB1F5F" w:rsidRDefault="00F2318F" w:rsidP="00F2318F">
      <w:pPr>
        <w:rPr>
          <w:b/>
        </w:rPr>
      </w:pPr>
      <w:r w:rsidRPr="00EB1F5F">
        <w:rPr>
          <w:b/>
        </w:rPr>
        <w:t>Kind of editorial change</w:t>
      </w:r>
    </w:p>
    <w:p w:rsidR="00F2318F" w:rsidRPr="00EB1F5F" w:rsidRDefault="00F2318F" w:rsidP="00F2318F"/>
    <w:p w:rsidR="00F2318F" w:rsidRPr="00EB1F5F" w:rsidRDefault="00F2318F" w:rsidP="00F2318F">
      <w:r w:rsidRPr="00EB1F5F">
        <w:t>Correct a typographical error</w:t>
      </w:r>
    </w:p>
    <w:p w:rsidR="00F2318F" w:rsidRPr="00EB1F5F" w:rsidRDefault="00F2318F" w:rsidP="00F2318F"/>
    <w:p w:rsidR="00F2318F" w:rsidRPr="00EB1F5F" w:rsidRDefault="00F2318F" w:rsidP="00B81553">
      <w:pPr>
        <w:keepNext/>
        <w:rPr>
          <w:b/>
        </w:rPr>
      </w:pPr>
      <w:r w:rsidRPr="00EB1F5F">
        <w:rPr>
          <w:b/>
        </w:rPr>
        <w:lastRenderedPageBreak/>
        <w:t>Details of editorial change</w:t>
      </w:r>
    </w:p>
    <w:p w:rsidR="00F2318F" w:rsidRPr="00EB1F5F" w:rsidRDefault="00F2318F" w:rsidP="00B81553">
      <w:pPr>
        <w:keepNext/>
      </w:pPr>
    </w:p>
    <w:p w:rsidR="00F2318F" w:rsidRPr="00EB1F5F" w:rsidRDefault="00F2318F" w:rsidP="00F2318F">
      <w:r w:rsidRPr="00EB1F5F">
        <w:rPr>
          <w:szCs w:val="22"/>
        </w:rPr>
        <w:t>Schedule</w:t>
      </w:r>
      <w:r>
        <w:rPr>
          <w:szCs w:val="22"/>
        </w:rPr>
        <w:t> </w:t>
      </w:r>
      <w:r w:rsidRPr="00EB1F5F">
        <w:rPr>
          <w:szCs w:val="22"/>
        </w:rPr>
        <w:t>1 item</w:t>
      </w:r>
      <w:r>
        <w:rPr>
          <w:szCs w:val="22"/>
        </w:rPr>
        <w:t> </w:t>
      </w:r>
      <w:r w:rsidRPr="00EB1F5F">
        <w:rPr>
          <w:szCs w:val="22"/>
        </w:rPr>
        <w:t xml:space="preserve">122 of the </w:t>
      </w:r>
      <w:r w:rsidRPr="00EB1F5F">
        <w:rPr>
          <w:i/>
        </w:rPr>
        <w:t>Customs Tariff Amendment (2017 Harmonized System Changes) Act 2016</w:t>
      </w:r>
      <w:r w:rsidRPr="00EB1F5F">
        <w:t xml:space="preserve"> instructs to repeal and substitute Additional Note 1 and insert Additional Note 2 in Chapter</w:t>
      </w:r>
      <w:r>
        <w:t> </w:t>
      </w:r>
      <w:r w:rsidRPr="00EB1F5F">
        <w:t>44 of Schedule</w:t>
      </w:r>
      <w:r>
        <w:t> </w:t>
      </w:r>
      <w:r w:rsidRPr="00EB1F5F">
        <w:t>3.</w:t>
      </w:r>
    </w:p>
    <w:p w:rsidR="00F2318F" w:rsidRPr="00EB1F5F" w:rsidRDefault="00F2318F" w:rsidP="00F2318F"/>
    <w:p w:rsidR="00F2318F" w:rsidRDefault="00F2318F" w:rsidP="00F2318F">
      <w:r w:rsidRPr="00EB1F5F">
        <w:rPr>
          <w:szCs w:val="22"/>
        </w:rPr>
        <w:t xml:space="preserve">This compilation was editorially changed to change the heading from </w:t>
      </w:r>
      <w:r w:rsidRPr="00F2318F">
        <w:rPr>
          <w:szCs w:val="22"/>
        </w:rPr>
        <w:t>“Additional Note” to “Additional Notes” above Additional Note 1 in Chapter 44 of Schedule 3</w:t>
      </w:r>
      <w:r>
        <w:rPr>
          <w:szCs w:val="22"/>
        </w:rPr>
        <w:t>.</w:t>
      </w:r>
    </w:p>
    <w:p w:rsidR="00F7096B" w:rsidRDefault="00F7096B" w:rsidP="00E64E89">
      <w:pPr>
        <w:pStyle w:val="Head2"/>
      </w:pPr>
      <w:r w:rsidRPr="00EB30A3">
        <w:t>Paid Parental Leave Act 2010</w:t>
      </w:r>
      <w:r>
        <w:t>, Compilation No. 27, Registration Date: 9 March 2017</w:t>
      </w:r>
    </w:p>
    <w:p w:rsidR="00F7096B" w:rsidRPr="00EB30A3" w:rsidRDefault="00F7096B" w:rsidP="00F7096B"/>
    <w:p w:rsidR="00F7096B" w:rsidRPr="00EB30A3" w:rsidRDefault="00F7096B" w:rsidP="00F7096B">
      <w:pPr>
        <w:rPr>
          <w:b/>
          <w:sz w:val="24"/>
          <w:szCs w:val="24"/>
        </w:rPr>
      </w:pPr>
      <w:r w:rsidRPr="00EB30A3">
        <w:rPr>
          <w:b/>
          <w:sz w:val="24"/>
          <w:szCs w:val="24"/>
        </w:rPr>
        <w:t>Part</w:t>
      </w:r>
      <w:r>
        <w:rPr>
          <w:b/>
          <w:sz w:val="24"/>
          <w:szCs w:val="24"/>
        </w:rPr>
        <w:t> </w:t>
      </w:r>
      <w:r w:rsidRPr="00EB30A3">
        <w:rPr>
          <w:b/>
          <w:sz w:val="24"/>
          <w:szCs w:val="24"/>
        </w:rPr>
        <w:t>3A</w:t>
      </w:r>
      <w:r>
        <w:rPr>
          <w:b/>
          <w:sz w:val="24"/>
          <w:szCs w:val="24"/>
        </w:rPr>
        <w:noBreakHyphen/>
      </w:r>
      <w:r w:rsidRPr="00EB30A3">
        <w:rPr>
          <w:b/>
          <w:sz w:val="24"/>
          <w:szCs w:val="24"/>
        </w:rPr>
        <w:t>4, Division</w:t>
      </w:r>
      <w:r>
        <w:rPr>
          <w:b/>
          <w:sz w:val="24"/>
          <w:szCs w:val="24"/>
        </w:rPr>
        <w:t> </w:t>
      </w:r>
      <w:r w:rsidRPr="00EB30A3">
        <w:rPr>
          <w:b/>
          <w:sz w:val="24"/>
          <w:szCs w:val="24"/>
        </w:rPr>
        <w:t>2 (heading)</w:t>
      </w:r>
    </w:p>
    <w:p w:rsidR="00F7096B" w:rsidRPr="00EB30A3" w:rsidRDefault="00F7096B" w:rsidP="00F7096B">
      <w:pPr>
        <w:rPr>
          <w:b/>
        </w:rPr>
      </w:pPr>
    </w:p>
    <w:p w:rsidR="00F7096B" w:rsidRPr="00EB30A3" w:rsidRDefault="00F7096B" w:rsidP="00F7096B">
      <w:pPr>
        <w:rPr>
          <w:b/>
        </w:rPr>
      </w:pPr>
      <w:r w:rsidRPr="00EB30A3">
        <w:rPr>
          <w:b/>
        </w:rPr>
        <w:t>Kind of editorial change</w:t>
      </w:r>
    </w:p>
    <w:p w:rsidR="00F7096B" w:rsidRPr="00EB30A3" w:rsidRDefault="00F7096B" w:rsidP="00F7096B"/>
    <w:p w:rsidR="00F7096B" w:rsidRPr="00EB30A3" w:rsidRDefault="00F7096B" w:rsidP="00F7096B">
      <w:pPr>
        <w:pStyle w:val="EnStatementHeading0"/>
        <w:rPr>
          <w:rFonts w:eastAsiaTheme="minorHAnsi" w:cstheme="minorBidi"/>
          <w:b w:val="0"/>
          <w:lang w:eastAsia="en-US"/>
        </w:rPr>
      </w:pPr>
      <w:r w:rsidRPr="00EB30A3">
        <w:rPr>
          <w:rFonts w:eastAsiaTheme="minorHAnsi" w:cstheme="minorBidi"/>
          <w:b w:val="0"/>
          <w:lang w:eastAsia="en-US"/>
        </w:rPr>
        <w:t>Correct a typographical error</w:t>
      </w:r>
    </w:p>
    <w:p w:rsidR="00F7096B" w:rsidRPr="00EB30A3" w:rsidRDefault="00F7096B" w:rsidP="00F7096B"/>
    <w:p w:rsidR="00F7096B" w:rsidRPr="00EB30A3" w:rsidRDefault="00F7096B" w:rsidP="00F7096B">
      <w:pPr>
        <w:rPr>
          <w:b/>
        </w:rPr>
      </w:pPr>
      <w:r w:rsidRPr="00EB30A3">
        <w:rPr>
          <w:b/>
        </w:rPr>
        <w:t>Details of editorial change</w:t>
      </w:r>
    </w:p>
    <w:p w:rsidR="00F7096B" w:rsidRPr="00EB30A3" w:rsidRDefault="00F7096B" w:rsidP="00F7096B">
      <w:pPr>
        <w:rPr>
          <w:b/>
        </w:rPr>
      </w:pPr>
    </w:p>
    <w:p w:rsidR="00F7096B" w:rsidRPr="00EB30A3" w:rsidRDefault="00F7096B" w:rsidP="00F7096B">
      <w:r w:rsidRPr="00EB30A3">
        <w:t>The heading to Division</w:t>
      </w:r>
      <w:r>
        <w:t> </w:t>
      </w:r>
      <w:r w:rsidRPr="00EB30A3">
        <w:t>2 of Part</w:t>
      </w:r>
      <w:r>
        <w:t> </w:t>
      </w:r>
      <w:r w:rsidRPr="00EB30A3">
        <w:t>3A</w:t>
      </w:r>
      <w:r>
        <w:noBreakHyphen/>
      </w:r>
      <w:r w:rsidRPr="00EB30A3">
        <w:t>4 includes the wording “partner day”.</w:t>
      </w:r>
    </w:p>
    <w:p w:rsidR="00F7096B" w:rsidRPr="00EB30A3" w:rsidRDefault="00F7096B" w:rsidP="00F7096B"/>
    <w:p w:rsidR="00F7096B" w:rsidRDefault="00F7096B" w:rsidP="00F7096B">
      <w:r w:rsidRPr="00EB30A3">
        <w:t>This compilation was editorially changed to omit the word “day” and insert the word “pay” to correct this typographical error.</w:t>
      </w:r>
    </w:p>
    <w:p w:rsidR="00E64E89" w:rsidRDefault="00E64E89" w:rsidP="00E64E89">
      <w:pPr>
        <w:pStyle w:val="Head2"/>
      </w:pPr>
      <w:r>
        <w:t>National Greenhouse and Energy Reporting Regulations 2008, Compilation No. 17, Registration Date: 8 March 2017</w:t>
      </w:r>
    </w:p>
    <w:p w:rsidR="00E64E89" w:rsidRPr="00F2598C" w:rsidRDefault="00E64E89" w:rsidP="00E64E89"/>
    <w:p w:rsidR="00E64E89" w:rsidRPr="004549F1" w:rsidRDefault="00E64E89" w:rsidP="00E64E89">
      <w:pPr>
        <w:rPr>
          <w:b/>
          <w:sz w:val="24"/>
          <w:szCs w:val="24"/>
        </w:rPr>
      </w:pPr>
      <w:r>
        <w:rPr>
          <w:b/>
          <w:sz w:val="24"/>
          <w:szCs w:val="24"/>
        </w:rPr>
        <w:t>Regulation 1.03</w:t>
      </w:r>
    </w:p>
    <w:p w:rsidR="00E64E89" w:rsidRPr="004549F1" w:rsidRDefault="00E64E89" w:rsidP="00E64E89">
      <w:pPr>
        <w:rPr>
          <w:b/>
        </w:rPr>
      </w:pPr>
    </w:p>
    <w:p w:rsidR="00E64E89" w:rsidRPr="004549F1" w:rsidRDefault="00E64E89" w:rsidP="00E64E89">
      <w:pPr>
        <w:rPr>
          <w:b/>
        </w:rPr>
      </w:pPr>
      <w:r w:rsidRPr="004549F1">
        <w:rPr>
          <w:b/>
        </w:rPr>
        <w:t>Kind of editorial change</w:t>
      </w:r>
    </w:p>
    <w:p w:rsidR="00E64E89" w:rsidRPr="004549F1" w:rsidRDefault="00E64E89" w:rsidP="00E64E89"/>
    <w:p w:rsidR="00E64E89" w:rsidRPr="004549F1" w:rsidRDefault="00E64E89" w:rsidP="00E64E89">
      <w:pPr>
        <w:rPr>
          <w:b/>
        </w:rPr>
      </w:pPr>
      <w:r>
        <w:t>Removal of redundant text</w:t>
      </w:r>
    </w:p>
    <w:p w:rsidR="00E64E89" w:rsidRPr="004549F1" w:rsidRDefault="00E64E89" w:rsidP="00E64E89"/>
    <w:p w:rsidR="00E64E89" w:rsidRPr="004549F1" w:rsidRDefault="00E64E89" w:rsidP="00E64E89">
      <w:pPr>
        <w:rPr>
          <w:b/>
        </w:rPr>
      </w:pPr>
      <w:r w:rsidRPr="004549F1">
        <w:rPr>
          <w:b/>
        </w:rPr>
        <w:t>Details of editorial change</w:t>
      </w:r>
    </w:p>
    <w:p w:rsidR="00E64E89" w:rsidRPr="004549F1" w:rsidRDefault="00E64E89" w:rsidP="00E64E89">
      <w:pPr>
        <w:rPr>
          <w:b/>
        </w:rPr>
      </w:pPr>
    </w:p>
    <w:p w:rsidR="00E64E89" w:rsidRDefault="00E64E89" w:rsidP="00E64E89">
      <w:r>
        <w:t>To remove the repetition of the word “audit” in regulation 1.03 (definition of audited body), after “a Part 6 audit”.</w:t>
      </w:r>
    </w:p>
    <w:p w:rsidR="00E64E89" w:rsidRDefault="00E64E89" w:rsidP="00E64E89"/>
    <w:p w:rsidR="00E64E89" w:rsidRDefault="00E64E89" w:rsidP="00E64E89">
      <w:r>
        <w:t>This compilation was editorially changed to remove redundant text.</w:t>
      </w:r>
    </w:p>
    <w:p w:rsidR="007F4ABB" w:rsidRDefault="007F4ABB" w:rsidP="003B5738">
      <w:pPr>
        <w:pStyle w:val="Head2"/>
      </w:pPr>
      <w:r w:rsidRPr="005F5196">
        <w:t>Migration Act 1958</w:t>
      </w:r>
      <w:r>
        <w:t>, Compilation No. 134, Registration Date: 6 March 2017</w:t>
      </w:r>
    </w:p>
    <w:p w:rsidR="007F4ABB" w:rsidRPr="005F5196" w:rsidRDefault="007F4ABB" w:rsidP="007F4ABB"/>
    <w:p w:rsidR="007F4ABB" w:rsidRPr="005F5196" w:rsidRDefault="007F4ABB" w:rsidP="007F4ABB">
      <w:pPr>
        <w:rPr>
          <w:b/>
          <w:sz w:val="24"/>
          <w:szCs w:val="24"/>
        </w:rPr>
      </w:pPr>
      <w:r w:rsidRPr="005F5196">
        <w:rPr>
          <w:b/>
          <w:sz w:val="24"/>
          <w:szCs w:val="24"/>
        </w:rPr>
        <w:t>Subsection</w:t>
      </w:r>
      <w:r>
        <w:rPr>
          <w:b/>
          <w:sz w:val="24"/>
          <w:szCs w:val="24"/>
        </w:rPr>
        <w:t> </w:t>
      </w:r>
      <w:r w:rsidRPr="005F5196">
        <w:rPr>
          <w:b/>
          <w:sz w:val="24"/>
          <w:szCs w:val="24"/>
        </w:rPr>
        <w:t xml:space="preserve">5AA(4) (definition of </w:t>
      </w:r>
      <w:r w:rsidRPr="005F5196">
        <w:rPr>
          <w:b/>
          <w:i/>
          <w:sz w:val="24"/>
          <w:szCs w:val="24"/>
        </w:rPr>
        <w:t>vessel</w:t>
      </w:r>
      <w:r w:rsidRPr="005F5196">
        <w:rPr>
          <w:b/>
          <w:sz w:val="24"/>
          <w:szCs w:val="24"/>
        </w:rPr>
        <w:t>)</w:t>
      </w:r>
    </w:p>
    <w:p w:rsidR="007F4ABB" w:rsidRPr="005F5196" w:rsidRDefault="007F4ABB" w:rsidP="007F4ABB">
      <w:pPr>
        <w:rPr>
          <w:b/>
        </w:rPr>
      </w:pPr>
    </w:p>
    <w:p w:rsidR="007F4ABB" w:rsidRPr="005F5196" w:rsidRDefault="007F4ABB" w:rsidP="007F4ABB">
      <w:pPr>
        <w:rPr>
          <w:b/>
        </w:rPr>
      </w:pPr>
      <w:r w:rsidRPr="005F5196">
        <w:rPr>
          <w:b/>
        </w:rPr>
        <w:t>Kind of editorial change</w:t>
      </w:r>
    </w:p>
    <w:p w:rsidR="007F4ABB" w:rsidRPr="005F5196" w:rsidRDefault="007F4ABB" w:rsidP="007F4ABB"/>
    <w:p w:rsidR="007F4ABB" w:rsidRPr="005F5196" w:rsidRDefault="007F4ABB" w:rsidP="007F4ABB">
      <w:pPr>
        <w:rPr>
          <w:b/>
        </w:rPr>
      </w:pPr>
      <w:r w:rsidRPr="005F5196">
        <w:t>Removal of redundant text</w:t>
      </w:r>
    </w:p>
    <w:p w:rsidR="007F4ABB" w:rsidRPr="005F5196" w:rsidRDefault="007F4ABB" w:rsidP="007F4ABB"/>
    <w:p w:rsidR="007F4ABB" w:rsidRPr="005F5196" w:rsidRDefault="007F4ABB" w:rsidP="00B81553">
      <w:pPr>
        <w:keepNext/>
        <w:rPr>
          <w:b/>
        </w:rPr>
      </w:pPr>
      <w:r w:rsidRPr="005F5196">
        <w:rPr>
          <w:b/>
        </w:rPr>
        <w:lastRenderedPageBreak/>
        <w:t>Details of editorial change</w:t>
      </w:r>
    </w:p>
    <w:p w:rsidR="007F4ABB" w:rsidRPr="005F5196" w:rsidRDefault="007F4ABB" w:rsidP="00B81553">
      <w:pPr>
        <w:keepNext/>
        <w:rPr>
          <w:b/>
        </w:rPr>
      </w:pPr>
    </w:p>
    <w:p w:rsidR="007F4ABB" w:rsidRPr="005F5196" w:rsidRDefault="007F4ABB" w:rsidP="007F4ABB">
      <w:r w:rsidRPr="005F5196">
        <w:t xml:space="preserve">The definition of </w:t>
      </w:r>
      <w:r w:rsidRPr="005F5196">
        <w:rPr>
          <w:b/>
          <w:i/>
        </w:rPr>
        <w:t>vessel</w:t>
      </w:r>
      <w:r w:rsidRPr="005F5196">
        <w:t xml:space="preserve"> in subsection</w:t>
      </w:r>
      <w:r>
        <w:t> </w:t>
      </w:r>
      <w:r w:rsidRPr="005F5196">
        <w:t>5AA(4) is redundant as the definition is defined as being for the purposes of section</w:t>
      </w:r>
      <w:r>
        <w:t> </w:t>
      </w:r>
      <w:r w:rsidRPr="005F5196">
        <w:t>5AA but the defined term is not used in that section.</w:t>
      </w:r>
    </w:p>
    <w:p w:rsidR="007F4ABB" w:rsidRPr="005F5196" w:rsidRDefault="007F4ABB" w:rsidP="007F4ABB"/>
    <w:p w:rsidR="007F4ABB" w:rsidRPr="005F5196" w:rsidRDefault="007F4ABB" w:rsidP="007F4ABB">
      <w:r w:rsidRPr="005F5196">
        <w:t>This compilation was editorially changed to omit the redundant definition.</w:t>
      </w:r>
    </w:p>
    <w:p w:rsidR="007F4ABB" w:rsidRDefault="007F4ABB" w:rsidP="007F4ABB"/>
    <w:p w:rsidR="000B0B1A" w:rsidRPr="005F5196" w:rsidRDefault="000B0B1A" w:rsidP="007F4ABB"/>
    <w:p w:rsidR="007F4ABB" w:rsidRPr="005F5196" w:rsidRDefault="007F4ABB" w:rsidP="007F4ABB">
      <w:pPr>
        <w:keepNext/>
        <w:rPr>
          <w:b/>
          <w:sz w:val="24"/>
          <w:szCs w:val="24"/>
        </w:rPr>
      </w:pPr>
      <w:r w:rsidRPr="005F5196">
        <w:rPr>
          <w:b/>
          <w:sz w:val="24"/>
          <w:szCs w:val="24"/>
        </w:rPr>
        <w:t>Section</w:t>
      </w:r>
      <w:r>
        <w:rPr>
          <w:b/>
          <w:sz w:val="24"/>
          <w:szCs w:val="24"/>
        </w:rPr>
        <w:t> </w:t>
      </w:r>
      <w:r w:rsidRPr="005F5196">
        <w:rPr>
          <w:b/>
          <w:sz w:val="24"/>
          <w:szCs w:val="24"/>
        </w:rPr>
        <w:t>62 (heading)</w:t>
      </w:r>
    </w:p>
    <w:p w:rsidR="007F4ABB" w:rsidRPr="005F5196" w:rsidRDefault="007F4ABB" w:rsidP="007F4ABB">
      <w:pPr>
        <w:keepNext/>
        <w:rPr>
          <w:b/>
        </w:rPr>
      </w:pPr>
    </w:p>
    <w:p w:rsidR="007F4ABB" w:rsidRPr="005F5196" w:rsidRDefault="007F4ABB" w:rsidP="007F4ABB">
      <w:pPr>
        <w:rPr>
          <w:b/>
        </w:rPr>
      </w:pPr>
      <w:r w:rsidRPr="005F5196">
        <w:rPr>
          <w:b/>
        </w:rPr>
        <w:t>Kind of editorial change</w:t>
      </w:r>
    </w:p>
    <w:p w:rsidR="007F4ABB" w:rsidRPr="005F5196" w:rsidRDefault="007F4ABB" w:rsidP="007F4ABB">
      <w:pPr>
        <w:rPr>
          <w:b/>
        </w:rPr>
      </w:pPr>
    </w:p>
    <w:p w:rsidR="007F4ABB" w:rsidRPr="005F5196" w:rsidRDefault="007F4ABB" w:rsidP="007F4ABB">
      <w:r w:rsidRPr="005F5196">
        <w:t>Correct a typographical error</w:t>
      </w:r>
    </w:p>
    <w:p w:rsidR="007F4ABB" w:rsidRPr="005F5196" w:rsidRDefault="007F4ABB" w:rsidP="007F4ABB">
      <w:pPr>
        <w:pStyle w:val="EnStatementHeading0"/>
      </w:pPr>
    </w:p>
    <w:p w:rsidR="007F4ABB" w:rsidRPr="005F5196" w:rsidRDefault="007F4ABB" w:rsidP="007F4ABB">
      <w:pPr>
        <w:rPr>
          <w:b/>
        </w:rPr>
      </w:pPr>
      <w:r w:rsidRPr="005F5196">
        <w:rPr>
          <w:b/>
        </w:rPr>
        <w:t>Details of editorial change</w:t>
      </w:r>
    </w:p>
    <w:p w:rsidR="007F4ABB" w:rsidRPr="005F5196" w:rsidRDefault="007F4ABB" w:rsidP="007F4ABB">
      <w:pPr>
        <w:rPr>
          <w:b/>
        </w:rPr>
      </w:pPr>
    </w:p>
    <w:p w:rsidR="007F4ABB" w:rsidRPr="005F5196" w:rsidRDefault="007F4ABB" w:rsidP="007F4ABB">
      <w:r w:rsidRPr="005F5196">
        <w:t>The heading to section</w:t>
      </w:r>
      <w:r>
        <w:t> </w:t>
      </w:r>
      <w:r w:rsidRPr="005F5196">
        <w:t>62 reads “Failure to receive information not require action”.</w:t>
      </w:r>
    </w:p>
    <w:p w:rsidR="007F4ABB" w:rsidRPr="005F5196" w:rsidRDefault="007F4ABB" w:rsidP="007F4ABB"/>
    <w:p w:rsidR="007F4ABB" w:rsidRPr="005F5196" w:rsidRDefault="007F4ABB" w:rsidP="007F4ABB">
      <w:r w:rsidRPr="005F5196">
        <w:t>This compilation was editorially changed to insert “does” after “information” to correct the typographical error.</w:t>
      </w:r>
    </w:p>
    <w:p w:rsidR="007F4ABB" w:rsidRDefault="007F4ABB" w:rsidP="007F4ABB"/>
    <w:p w:rsidR="000B0B1A" w:rsidRPr="005F5196" w:rsidRDefault="000B0B1A" w:rsidP="007F4ABB"/>
    <w:p w:rsidR="007F4ABB" w:rsidRPr="005F5196" w:rsidRDefault="007F4ABB" w:rsidP="007F4ABB">
      <w:pPr>
        <w:rPr>
          <w:b/>
          <w:sz w:val="24"/>
          <w:szCs w:val="24"/>
        </w:rPr>
      </w:pPr>
      <w:r w:rsidRPr="005F5196">
        <w:rPr>
          <w:b/>
          <w:sz w:val="24"/>
          <w:szCs w:val="24"/>
        </w:rPr>
        <w:t>Section</w:t>
      </w:r>
      <w:r>
        <w:rPr>
          <w:b/>
          <w:sz w:val="24"/>
          <w:szCs w:val="24"/>
        </w:rPr>
        <w:t> </w:t>
      </w:r>
      <w:r w:rsidRPr="005F5196">
        <w:rPr>
          <w:b/>
          <w:sz w:val="24"/>
          <w:szCs w:val="24"/>
        </w:rPr>
        <w:t>112 (heading)</w:t>
      </w:r>
    </w:p>
    <w:p w:rsidR="007F4ABB" w:rsidRPr="005F5196" w:rsidRDefault="007F4ABB" w:rsidP="007F4ABB">
      <w:pPr>
        <w:rPr>
          <w:b/>
        </w:rPr>
      </w:pPr>
    </w:p>
    <w:p w:rsidR="007F4ABB" w:rsidRPr="005F5196" w:rsidRDefault="007F4ABB" w:rsidP="007F4ABB">
      <w:pPr>
        <w:rPr>
          <w:b/>
        </w:rPr>
      </w:pPr>
      <w:r w:rsidRPr="005F5196">
        <w:rPr>
          <w:b/>
        </w:rPr>
        <w:t>Kind of editorial change</w:t>
      </w:r>
    </w:p>
    <w:p w:rsidR="007F4ABB" w:rsidRPr="005F5196" w:rsidRDefault="007F4ABB" w:rsidP="007F4ABB">
      <w:pPr>
        <w:rPr>
          <w:b/>
        </w:rPr>
      </w:pPr>
    </w:p>
    <w:p w:rsidR="007F4ABB" w:rsidRPr="005F5196" w:rsidRDefault="007F4ABB" w:rsidP="007F4ABB">
      <w:r w:rsidRPr="005F5196">
        <w:t>Correct a typographical error</w:t>
      </w:r>
    </w:p>
    <w:p w:rsidR="007F4ABB" w:rsidRPr="005F5196" w:rsidRDefault="007F4ABB" w:rsidP="007F4ABB">
      <w:pPr>
        <w:pStyle w:val="EnStatementHeading0"/>
      </w:pPr>
    </w:p>
    <w:p w:rsidR="007F4ABB" w:rsidRPr="005F5196" w:rsidRDefault="007F4ABB" w:rsidP="00A2347A">
      <w:pPr>
        <w:keepNext/>
        <w:rPr>
          <w:b/>
        </w:rPr>
      </w:pPr>
      <w:r w:rsidRPr="005F5196">
        <w:rPr>
          <w:b/>
        </w:rPr>
        <w:t>Details of editorial change</w:t>
      </w:r>
    </w:p>
    <w:p w:rsidR="007F4ABB" w:rsidRPr="005F5196" w:rsidRDefault="007F4ABB" w:rsidP="007F4ABB">
      <w:pPr>
        <w:rPr>
          <w:b/>
        </w:rPr>
      </w:pPr>
    </w:p>
    <w:p w:rsidR="007F4ABB" w:rsidRPr="005F5196" w:rsidRDefault="007F4ABB" w:rsidP="007F4ABB">
      <w:r w:rsidRPr="005F5196">
        <w:t>The heading to section</w:t>
      </w:r>
      <w:r>
        <w:t> </w:t>
      </w:r>
      <w:r w:rsidRPr="005F5196">
        <w:t>112 reads “Action because of one non</w:t>
      </w:r>
      <w:r>
        <w:noBreakHyphen/>
      </w:r>
      <w:r w:rsidRPr="005F5196">
        <w:t>compliance not prevent action because of other non</w:t>
      </w:r>
      <w:r>
        <w:noBreakHyphen/>
      </w:r>
      <w:r w:rsidRPr="005F5196">
        <w:t>compliance”.</w:t>
      </w:r>
    </w:p>
    <w:p w:rsidR="007F4ABB" w:rsidRPr="005F5196" w:rsidRDefault="007F4ABB" w:rsidP="007F4ABB"/>
    <w:p w:rsidR="007F4ABB" w:rsidRPr="005F5196" w:rsidRDefault="007F4ABB" w:rsidP="007F4ABB">
      <w:r w:rsidRPr="005F5196">
        <w:t>This compilation was editorially changed to insert “does” after the first occurrence of “non</w:t>
      </w:r>
      <w:r>
        <w:noBreakHyphen/>
      </w:r>
      <w:r w:rsidRPr="005F5196">
        <w:t>compliance” to correct the typographical error.</w:t>
      </w:r>
    </w:p>
    <w:p w:rsidR="007F4ABB" w:rsidRDefault="007F4ABB" w:rsidP="007F4ABB"/>
    <w:p w:rsidR="000B0B1A" w:rsidRPr="005F5196" w:rsidRDefault="000B0B1A" w:rsidP="007F4ABB"/>
    <w:p w:rsidR="007F4ABB" w:rsidRPr="005F5196" w:rsidRDefault="007F4ABB" w:rsidP="00B114A3">
      <w:pPr>
        <w:keepNext/>
        <w:rPr>
          <w:b/>
          <w:sz w:val="24"/>
          <w:szCs w:val="24"/>
        </w:rPr>
      </w:pPr>
      <w:r w:rsidRPr="005F5196">
        <w:rPr>
          <w:b/>
          <w:sz w:val="24"/>
          <w:szCs w:val="24"/>
        </w:rPr>
        <w:t>Section</w:t>
      </w:r>
      <w:r>
        <w:rPr>
          <w:b/>
          <w:sz w:val="24"/>
          <w:szCs w:val="24"/>
        </w:rPr>
        <w:t> </w:t>
      </w:r>
      <w:r w:rsidRPr="005F5196">
        <w:rPr>
          <w:b/>
          <w:sz w:val="24"/>
          <w:szCs w:val="24"/>
        </w:rPr>
        <w:t>420 (heading)</w:t>
      </w:r>
    </w:p>
    <w:p w:rsidR="007F4ABB" w:rsidRPr="005F5196" w:rsidRDefault="007F4ABB" w:rsidP="00B114A3">
      <w:pPr>
        <w:keepNext/>
        <w:rPr>
          <w:b/>
        </w:rPr>
      </w:pPr>
    </w:p>
    <w:p w:rsidR="007F4ABB" w:rsidRPr="005F5196" w:rsidRDefault="007F4ABB" w:rsidP="00B114A3">
      <w:pPr>
        <w:keepNext/>
        <w:rPr>
          <w:b/>
        </w:rPr>
      </w:pPr>
      <w:r w:rsidRPr="005F5196">
        <w:rPr>
          <w:b/>
        </w:rPr>
        <w:t>Kind of editorial change</w:t>
      </w:r>
    </w:p>
    <w:p w:rsidR="007F4ABB" w:rsidRPr="005F5196" w:rsidRDefault="007F4ABB" w:rsidP="00B114A3">
      <w:pPr>
        <w:keepNext/>
        <w:rPr>
          <w:b/>
        </w:rPr>
      </w:pPr>
    </w:p>
    <w:p w:rsidR="007F4ABB" w:rsidRPr="005F5196" w:rsidRDefault="007F4ABB" w:rsidP="007F4ABB">
      <w:r w:rsidRPr="005F5196">
        <w:t>Removal of redundant text</w:t>
      </w:r>
    </w:p>
    <w:p w:rsidR="007F4ABB" w:rsidRPr="005F5196" w:rsidRDefault="007F4ABB" w:rsidP="007F4ABB">
      <w:pPr>
        <w:pStyle w:val="EnStatementHeading0"/>
      </w:pPr>
    </w:p>
    <w:p w:rsidR="007F4ABB" w:rsidRPr="005F5196" w:rsidRDefault="007F4ABB" w:rsidP="0054153D">
      <w:pPr>
        <w:keepNext/>
        <w:rPr>
          <w:b/>
        </w:rPr>
      </w:pPr>
      <w:r w:rsidRPr="005F5196">
        <w:rPr>
          <w:b/>
        </w:rPr>
        <w:t>Details of editorial change</w:t>
      </w:r>
    </w:p>
    <w:p w:rsidR="007F4ABB" w:rsidRPr="005F5196" w:rsidRDefault="007F4ABB" w:rsidP="0054153D">
      <w:pPr>
        <w:keepNext/>
      </w:pPr>
    </w:p>
    <w:p w:rsidR="007F4ABB" w:rsidRPr="005F5196" w:rsidRDefault="007F4ABB" w:rsidP="007F4ABB">
      <w:r w:rsidRPr="005F5196">
        <w:t>The heading to section</w:t>
      </w:r>
      <w:r>
        <w:t> </w:t>
      </w:r>
      <w:r w:rsidRPr="005F5196">
        <w:t>420 refers to the Refugee Review Tribunal. However, the Refugee Review Tribunal was abolished from 1</w:t>
      </w:r>
      <w:r>
        <w:t> </w:t>
      </w:r>
      <w:r w:rsidRPr="005F5196">
        <w:t>July 2015, and its functions transferred to the Migration and Refugee Division of the Administrative Appeals Tribunal (defined in the Act as “the Tribunal”).</w:t>
      </w:r>
    </w:p>
    <w:p w:rsidR="007F4ABB" w:rsidRPr="005F5196" w:rsidRDefault="007F4ABB" w:rsidP="007F4ABB"/>
    <w:p w:rsidR="007F4ABB" w:rsidRDefault="007F4ABB" w:rsidP="007F4ABB">
      <w:r w:rsidRPr="005F5196">
        <w:t xml:space="preserve">This compilation was editorially changed to omit “Refugee Review” from the </w:t>
      </w:r>
      <w:r>
        <w:t>heading.</w:t>
      </w:r>
    </w:p>
    <w:p w:rsidR="00835A5F" w:rsidRDefault="00835A5F" w:rsidP="003B5738">
      <w:pPr>
        <w:pStyle w:val="Head2"/>
      </w:pPr>
      <w:r w:rsidRPr="00715510">
        <w:lastRenderedPageBreak/>
        <w:t>Trade Marks Act 1995</w:t>
      </w:r>
      <w:r>
        <w:t>, Compilation No. 36, Registration Date: 27 February 2017</w:t>
      </w:r>
    </w:p>
    <w:p w:rsidR="00835A5F" w:rsidRDefault="00835A5F" w:rsidP="00835A5F">
      <w:pPr>
        <w:rPr>
          <w:szCs w:val="22"/>
        </w:rPr>
      </w:pPr>
    </w:p>
    <w:p w:rsidR="00835A5F" w:rsidRPr="00CA1BC0" w:rsidRDefault="00835A5F" w:rsidP="00835A5F">
      <w:pPr>
        <w:rPr>
          <w:b/>
          <w:sz w:val="24"/>
          <w:szCs w:val="24"/>
        </w:rPr>
      </w:pPr>
      <w:r>
        <w:rPr>
          <w:b/>
          <w:sz w:val="24"/>
          <w:szCs w:val="24"/>
        </w:rPr>
        <w:t>Paragraph 147B(3)(a)</w:t>
      </w:r>
    </w:p>
    <w:p w:rsidR="00835A5F" w:rsidRDefault="00835A5F" w:rsidP="00835A5F">
      <w:pPr>
        <w:rPr>
          <w:szCs w:val="22"/>
        </w:rPr>
      </w:pPr>
    </w:p>
    <w:p w:rsidR="00835A5F" w:rsidRDefault="00835A5F" w:rsidP="00835A5F">
      <w:pPr>
        <w:rPr>
          <w:b/>
          <w:szCs w:val="22"/>
        </w:rPr>
      </w:pPr>
      <w:r>
        <w:rPr>
          <w:b/>
          <w:szCs w:val="22"/>
        </w:rPr>
        <w:t>Kind of editorial change</w:t>
      </w:r>
    </w:p>
    <w:p w:rsidR="00835A5F" w:rsidRDefault="00835A5F" w:rsidP="00835A5F">
      <w:pPr>
        <w:rPr>
          <w:szCs w:val="22"/>
        </w:rPr>
      </w:pPr>
    </w:p>
    <w:p w:rsidR="00835A5F" w:rsidRDefault="00835A5F" w:rsidP="00835A5F">
      <w:pPr>
        <w:rPr>
          <w:szCs w:val="22"/>
        </w:rPr>
      </w:pPr>
      <w:r>
        <w:rPr>
          <w:szCs w:val="22"/>
        </w:rPr>
        <w:t>Correct a typographical error</w:t>
      </w:r>
    </w:p>
    <w:p w:rsidR="00835A5F" w:rsidRDefault="00835A5F" w:rsidP="00835A5F">
      <w:pPr>
        <w:rPr>
          <w:szCs w:val="22"/>
        </w:rPr>
      </w:pPr>
    </w:p>
    <w:p w:rsidR="00835A5F" w:rsidRDefault="00835A5F" w:rsidP="00835A5F">
      <w:pPr>
        <w:rPr>
          <w:b/>
          <w:szCs w:val="22"/>
        </w:rPr>
      </w:pPr>
      <w:r>
        <w:rPr>
          <w:b/>
          <w:szCs w:val="22"/>
        </w:rPr>
        <w:t>Details of editorial change</w:t>
      </w:r>
    </w:p>
    <w:p w:rsidR="00835A5F" w:rsidRDefault="00835A5F" w:rsidP="00835A5F">
      <w:pPr>
        <w:rPr>
          <w:szCs w:val="22"/>
        </w:rPr>
      </w:pPr>
    </w:p>
    <w:p w:rsidR="00835A5F" w:rsidRDefault="00835A5F" w:rsidP="00835A5F">
      <w:r>
        <w:t>Paragraph 147B(3)(a) reads “(a) the possesses or disposes of:”.</w:t>
      </w:r>
    </w:p>
    <w:p w:rsidR="00835A5F" w:rsidRDefault="00835A5F" w:rsidP="00835A5F"/>
    <w:p w:rsidR="00835A5F" w:rsidRPr="003621C9" w:rsidRDefault="00835A5F" w:rsidP="00835A5F">
      <w:r w:rsidRPr="003621C9">
        <w:t xml:space="preserve">This compilation was editorially changed to </w:t>
      </w:r>
      <w:r>
        <w:t>insert “person” after “the” to correct the</w:t>
      </w:r>
      <w:r>
        <w:rPr>
          <w:szCs w:val="22"/>
        </w:rPr>
        <w:t xml:space="preserve"> typographical error.</w:t>
      </w:r>
    </w:p>
    <w:p w:rsidR="000667A8" w:rsidRDefault="000667A8" w:rsidP="003B5738">
      <w:pPr>
        <w:pStyle w:val="Head2"/>
      </w:pPr>
      <w:r w:rsidRPr="006826D6">
        <w:t>Plant Breeder’s Rights Act 1994</w:t>
      </w:r>
      <w:r>
        <w:t>, Compilation No. 17, Registration Date: 24 February 2017</w:t>
      </w:r>
    </w:p>
    <w:p w:rsidR="000667A8" w:rsidRDefault="000667A8" w:rsidP="000667A8">
      <w:pPr>
        <w:rPr>
          <w:b/>
          <w:sz w:val="24"/>
          <w:szCs w:val="24"/>
        </w:rPr>
      </w:pPr>
    </w:p>
    <w:p w:rsidR="000667A8" w:rsidRPr="006826D6" w:rsidRDefault="000667A8" w:rsidP="000667A8">
      <w:pPr>
        <w:rPr>
          <w:b/>
          <w:sz w:val="24"/>
          <w:szCs w:val="24"/>
        </w:rPr>
      </w:pPr>
      <w:r w:rsidRPr="006826D6">
        <w:rPr>
          <w:b/>
          <w:sz w:val="24"/>
          <w:szCs w:val="24"/>
        </w:rPr>
        <w:t>Subsection</w:t>
      </w:r>
      <w:r>
        <w:rPr>
          <w:b/>
          <w:sz w:val="24"/>
          <w:szCs w:val="24"/>
        </w:rPr>
        <w:t> </w:t>
      </w:r>
      <w:r w:rsidRPr="006826D6">
        <w:rPr>
          <w:b/>
          <w:sz w:val="24"/>
          <w:szCs w:val="24"/>
        </w:rPr>
        <w:t>26(3)</w:t>
      </w:r>
    </w:p>
    <w:p w:rsidR="000667A8" w:rsidRPr="006826D6" w:rsidRDefault="000667A8" w:rsidP="000667A8">
      <w:pPr>
        <w:rPr>
          <w:b/>
        </w:rPr>
      </w:pPr>
    </w:p>
    <w:p w:rsidR="000667A8" w:rsidRPr="006826D6" w:rsidRDefault="000667A8" w:rsidP="000667A8">
      <w:pPr>
        <w:rPr>
          <w:b/>
        </w:rPr>
      </w:pPr>
      <w:r w:rsidRPr="006826D6">
        <w:rPr>
          <w:b/>
        </w:rPr>
        <w:t>Kind of editorial change</w:t>
      </w:r>
    </w:p>
    <w:p w:rsidR="000667A8" w:rsidRPr="006826D6" w:rsidRDefault="000667A8" w:rsidP="000667A8"/>
    <w:p w:rsidR="000667A8" w:rsidRPr="006826D6" w:rsidRDefault="000667A8" w:rsidP="000667A8">
      <w:r w:rsidRPr="006826D6">
        <w:t>Give effect to the misdescribed amendment as intended</w:t>
      </w:r>
    </w:p>
    <w:p w:rsidR="000667A8" w:rsidRPr="006826D6" w:rsidRDefault="000667A8" w:rsidP="000667A8"/>
    <w:p w:rsidR="000667A8" w:rsidRPr="006826D6" w:rsidRDefault="000667A8" w:rsidP="000B0B1A">
      <w:pPr>
        <w:keepNext/>
        <w:rPr>
          <w:b/>
        </w:rPr>
      </w:pPr>
      <w:r w:rsidRPr="006826D6">
        <w:rPr>
          <w:b/>
        </w:rPr>
        <w:t>Details of editorial change</w:t>
      </w:r>
    </w:p>
    <w:p w:rsidR="000667A8" w:rsidRPr="006826D6" w:rsidRDefault="000667A8" w:rsidP="000B0B1A">
      <w:pPr>
        <w:keepNext/>
        <w:rPr>
          <w:b/>
        </w:rPr>
      </w:pPr>
    </w:p>
    <w:p w:rsidR="000667A8" w:rsidRPr="006826D6" w:rsidRDefault="000667A8" w:rsidP="000667A8">
      <w:r>
        <w:t xml:space="preserve">Schedule 4 item 63 of the </w:t>
      </w:r>
      <w:r w:rsidRPr="009B10F1">
        <w:rPr>
          <w:i/>
        </w:rPr>
        <w:t xml:space="preserve">Intellectual Property </w:t>
      </w:r>
      <w:r>
        <w:rPr>
          <w:i/>
        </w:rPr>
        <w:t xml:space="preserve">Laws </w:t>
      </w:r>
      <w:r w:rsidRPr="009B10F1">
        <w:rPr>
          <w:i/>
        </w:rPr>
        <w:t>Amendment Act 2015</w:t>
      </w:r>
      <w:r>
        <w:t xml:space="preserve"> </w:t>
      </w:r>
      <w:r w:rsidRPr="006826D6">
        <w:t>instructs to insert the text “in a country other than New Zealand” after “overseas”.</w:t>
      </w:r>
    </w:p>
    <w:p w:rsidR="000667A8" w:rsidRPr="006826D6" w:rsidRDefault="000667A8" w:rsidP="000667A8"/>
    <w:p w:rsidR="000667A8" w:rsidRPr="006826D6" w:rsidRDefault="000667A8" w:rsidP="000667A8">
      <w:r w:rsidRPr="006826D6">
        <w:t>The word “overseas” appears twice in subsection</w:t>
      </w:r>
      <w:r>
        <w:t> </w:t>
      </w:r>
      <w:r w:rsidRPr="006826D6">
        <w:t>26(3).</w:t>
      </w:r>
    </w:p>
    <w:p w:rsidR="000667A8" w:rsidRPr="006826D6" w:rsidRDefault="000667A8" w:rsidP="000667A8"/>
    <w:p w:rsidR="000667A8" w:rsidRDefault="000667A8" w:rsidP="000667A8">
      <w:r w:rsidRPr="006826D6">
        <w:t>This compilation was editorially changed to insert the text “in a country other than New Zealand” after “overseas” (first occurring) and give effect to the misdescribed amendment as intended</w:t>
      </w:r>
      <w:r>
        <w:t>.</w:t>
      </w:r>
    </w:p>
    <w:p w:rsidR="005A7F32" w:rsidRDefault="005A7F32" w:rsidP="0054153D">
      <w:pPr>
        <w:pStyle w:val="Head2"/>
      </w:pPr>
      <w:r w:rsidRPr="005A7F32">
        <w:t>Carrier Licence Conditions (Networks supplying Superfast Carriage Services to Residential Customers) Declaration 2014</w:t>
      </w:r>
      <w:r>
        <w:t>, Compilation No. 1, Registration Date: 24 January 2017</w:t>
      </w:r>
    </w:p>
    <w:p w:rsidR="005A7F32" w:rsidRDefault="005A7F32" w:rsidP="0054153D">
      <w:pPr>
        <w:keepNext/>
        <w:rPr>
          <w:b/>
          <w:sz w:val="24"/>
          <w:szCs w:val="24"/>
        </w:rPr>
      </w:pPr>
    </w:p>
    <w:p w:rsidR="005A7F32" w:rsidRPr="00545BF8" w:rsidRDefault="005A7F32" w:rsidP="0054153D">
      <w:pPr>
        <w:keepNext/>
        <w:rPr>
          <w:b/>
          <w:sz w:val="24"/>
          <w:szCs w:val="24"/>
        </w:rPr>
      </w:pPr>
      <w:r w:rsidRPr="00545BF8">
        <w:rPr>
          <w:b/>
          <w:sz w:val="24"/>
          <w:szCs w:val="24"/>
        </w:rPr>
        <w:t>Section</w:t>
      </w:r>
      <w:r>
        <w:rPr>
          <w:b/>
          <w:sz w:val="24"/>
          <w:szCs w:val="24"/>
        </w:rPr>
        <w:t> </w:t>
      </w:r>
      <w:r w:rsidRPr="00545BF8">
        <w:rPr>
          <w:b/>
          <w:sz w:val="24"/>
          <w:szCs w:val="24"/>
        </w:rPr>
        <w:t>4</w:t>
      </w:r>
    </w:p>
    <w:p w:rsidR="005A7F32" w:rsidRPr="00545BF8" w:rsidRDefault="005A7F32" w:rsidP="0054153D">
      <w:pPr>
        <w:keepNext/>
        <w:rPr>
          <w:b/>
        </w:rPr>
      </w:pPr>
    </w:p>
    <w:p w:rsidR="005A7F32" w:rsidRPr="00545BF8" w:rsidRDefault="005A7F32" w:rsidP="0054153D">
      <w:pPr>
        <w:keepNext/>
        <w:rPr>
          <w:b/>
        </w:rPr>
      </w:pPr>
      <w:r w:rsidRPr="00545BF8">
        <w:rPr>
          <w:b/>
        </w:rPr>
        <w:t>Kind of editorial change</w:t>
      </w:r>
    </w:p>
    <w:p w:rsidR="005A7F32" w:rsidRPr="00545BF8" w:rsidRDefault="005A7F32" w:rsidP="0054153D">
      <w:pPr>
        <w:keepNext/>
        <w:rPr>
          <w:b/>
        </w:rPr>
      </w:pPr>
    </w:p>
    <w:p w:rsidR="005A7F32" w:rsidRPr="00545BF8" w:rsidRDefault="005A7F32" w:rsidP="005A7F32">
      <w:r w:rsidRPr="00545BF8">
        <w:t>Give effect to the misdescribed amendment as intended</w:t>
      </w:r>
    </w:p>
    <w:p w:rsidR="005A7F32" w:rsidRPr="00545BF8" w:rsidRDefault="005A7F32" w:rsidP="005A7F32">
      <w:pPr>
        <w:pStyle w:val="EnStatementHeading0"/>
      </w:pPr>
    </w:p>
    <w:p w:rsidR="005A7F32" w:rsidRPr="00545BF8" w:rsidRDefault="005A7F32" w:rsidP="005A7F32">
      <w:pPr>
        <w:keepNext/>
        <w:rPr>
          <w:b/>
        </w:rPr>
      </w:pPr>
      <w:r w:rsidRPr="00545BF8">
        <w:rPr>
          <w:b/>
        </w:rPr>
        <w:lastRenderedPageBreak/>
        <w:t>Details of editorial change</w:t>
      </w:r>
    </w:p>
    <w:p w:rsidR="005A7F32" w:rsidRPr="00545BF8" w:rsidRDefault="005A7F32" w:rsidP="005A7F32">
      <w:pPr>
        <w:keepNext/>
      </w:pPr>
    </w:p>
    <w:p w:rsidR="005A7F32" w:rsidRPr="00545BF8" w:rsidRDefault="005A7F32" w:rsidP="005A7F32">
      <w:pPr>
        <w:keepNext/>
      </w:pPr>
      <w:r w:rsidRPr="00545BF8">
        <w:t>Item</w:t>
      </w:r>
      <w:r>
        <w:t> </w:t>
      </w:r>
      <w:r w:rsidRPr="00545BF8">
        <w:t xml:space="preserve">4 of the Schedule of the </w:t>
      </w:r>
      <w:r w:rsidRPr="00545BF8">
        <w:rPr>
          <w:i/>
        </w:rPr>
        <w:t>Carrier Licence Conditions (Networks supplying Superfast Carriage Services to Residential Customers) Declaration</w:t>
      </w:r>
      <w:r>
        <w:rPr>
          <w:i/>
        </w:rPr>
        <w:t> </w:t>
      </w:r>
      <w:r w:rsidRPr="00545BF8">
        <w:rPr>
          <w:i/>
        </w:rPr>
        <w:t>2014 (Amendment No.1 of 2016)</w:t>
      </w:r>
      <w:r w:rsidRPr="00545BF8">
        <w:t xml:space="preserve"> instructs as follows:</w:t>
      </w:r>
    </w:p>
    <w:p w:rsidR="005A7F32" w:rsidRPr="00545BF8" w:rsidRDefault="005A7F32" w:rsidP="005A7F32">
      <w:pPr>
        <w:pStyle w:val="I"/>
        <w:keepNext/>
      </w:pPr>
      <w:r w:rsidRPr="00545BF8">
        <w:t>[4]   At the Note accompanying Section</w:t>
      </w:r>
      <w:r>
        <w:t> </w:t>
      </w:r>
      <w:r w:rsidRPr="00545BF8">
        <w:t>4</w:t>
      </w:r>
    </w:p>
    <w:p w:rsidR="005A7F32" w:rsidRPr="00545BF8" w:rsidRDefault="005A7F32" w:rsidP="005A7F32">
      <w:pPr>
        <w:keepNext/>
        <w:spacing w:line="240" w:lineRule="auto"/>
        <w:ind w:firstLine="567"/>
        <w:rPr>
          <w:rFonts w:eastAsia="Times New Roman" w:cs="Times New Roman"/>
          <w:i/>
          <w:iCs/>
          <w:color w:val="000000"/>
          <w:lang w:eastAsia="en-AU"/>
        </w:rPr>
      </w:pPr>
      <w:r w:rsidRPr="00545BF8">
        <w:rPr>
          <w:rFonts w:eastAsia="Times New Roman" w:cs="Times New Roman"/>
          <w:i/>
          <w:iCs/>
          <w:color w:val="000000"/>
          <w:lang w:eastAsia="en-AU"/>
        </w:rPr>
        <w:t xml:space="preserve">omit </w:t>
      </w:r>
    </w:p>
    <w:p w:rsidR="005A7F32" w:rsidRPr="00545BF8" w:rsidRDefault="005A7F32" w:rsidP="005A7F32">
      <w:pPr>
        <w:spacing w:line="240" w:lineRule="auto"/>
        <w:ind w:left="720" w:firstLine="720"/>
        <w:rPr>
          <w:rFonts w:eastAsia="Times New Roman" w:cs="Times New Roman"/>
          <w:iCs/>
          <w:color w:val="000000"/>
          <w:sz w:val="24"/>
          <w:szCs w:val="24"/>
          <w:lang w:eastAsia="en-AU"/>
        </w:rPr>
      </w:pPr>
      <w:r w:rsidRPr="00545BF8">
        <w:rPr>
          <w:rFonts w:eastAsia="Times New Roman" w:cs="Times New Roman"/>
          <w:iCs/>
          <w:color w:val="000000"/>
          <w:sz w:val="24"/>
          <w:szCs w:val="24"/>
          <w:lang w:eastAsia="en-AU"/>
        </w:rPr>
        <w:t>(subsection</w:t>
      </w:r>
      <w:r>
        <w:rPr>
          <w:rFonts w:eastAsia="Times New Roman" w:cs="Times New Roman"/>
          <w:iCs/>
          <w:color w:val="000000"/>
          <w:sz w:val="24"/>
          <w:szCs w:val="24"/>
          <w:lang w:eastAsia="en-AU"/>
        </w:rPr>
        <w:t> </w:t>
      </w:r>
      <w:r w:rsidRPr="00545BF8">
        <w:rPr>
          <w:rFonts w:eastAsia="Times New Roman" w:cs="Times New Roman"/>
          <w:iCs/>
          <w:color w:val="000000"/>
          <w:sz w:val="24"/>
          <w:szCs w:val="24"/>
          <w:lang w:eastAsia="en-AU"/>
        </w:rPr>
        <w:t xml:space="preserve">13(1) of the </w:t>
      </w:r>
      <w:r w:rsidRPr="00545BF8">
        <w:rPr>
          <w:rFonts w:eastAsia="Times New Roman" w:cs="Times New Roman"/>
          <w:i/>
          <w:iCs/>
          <w:color w:val="000000"/>
          <w:sz w:val="24"/>
          <w:szCs w:val="24"/>
          <w:lang w:eastAsia="en-AU"/>
        </w:rPr>
        <w:t>Legislative Instruments Act 2003</w:t>
      </w:r>
      <w:r w:rsidRPr="00545BF8">
        <w:rPr>
          <w:rFonts w:eastAsia="Times New Roman" w:cs="Times New Roman"/>
          <w:iCs/>
          <w:color w:val="000000"/>
          <w:sz w:val="24"/>
          <w:szCs w:val="24"/>
          <w:lang w:eastAsia="en-AU"/>
        </w:rPr>
        <w:t>)</w:t>
      </w:r>
    </w:p>
    <w:p w:rsidR="005A7F32" w:rsidRPr="00545BF8" w:rsidRDefault="005A7F32" w:rsidP="005A7F32">
      <w:pPr>
        <w:keepNext/>
        <w:spacing w:before="240" w:line="240" w:lineRule="auto"/>
        <w:ind w:firstLine="567"/>
        <w:rPr>
          <w:rFonts w:eastAsia="Times New Roman" w:cs="Times New Roman"/>
          <w:i/>
          <w:iCs/>
          <w:color w:val="000000"/>
          <w:lang w:eastAsia="en-AU"/>
        </w:rPr>
      </w:pPr>
      <w:r>
        <w:rPr>
          <w:rFonts w:eastAsia="Times New Roman" w:cs="Times New Roman"/>
          <w:i/>
          <w:iCs/>
          <w:color w:val="000000"/>
          <w:lang w:eastAsia="en-AU"/>
        </w:rPr>
        <w:t>substitute</w:t>
      </w:r>
    </w:p>
    <w:p w:rsidR="005A7F32" w:rsidRPr="00545BF8" w:rsidRDefault="005A7F32" w:rsidP="005A7F32">
      <w:pPr>
        <w:spacing w:line="240" w:lineRule="auto"/>
        <w:ind w:left="720" w:firstLine="720"/>
        <w:rPr>
          <w:rFonts w:eastAsia="Times New Roman" w:cs="Times New Roman"/>
          <w:iCs/>
          <w:color w:val="000000"/>
          <w:sz w:val="24"/>
          <w:szCs w:val="24"/>
          <w:lang w:eastAsia="en-AU"/>
        </w:rPr>
      </w:pPr>
      <w:r w:rsidRPr="00545BF8">
        <w:rPr>
          <w:rFonts w:eastAsia="Times New Roman" w:cs="Times New Roman"/>
          <w:iCs/>
          <w:color w:val="000000"/>
          <w:sz w:val="24"/>
          <w:szCs w:val="24"/>
          <w:lang w:eastAsia="en-AU"/>
        </w:rPr>
        <w:t>(paragraph</w:t>
      </w:r>
      <w:r>
        <w:rPr>
          <w:rFonts w:eastAsia="Times New Roman" w:cs="Times New Roman"/>
          <w:iCs/>
          <w:color w:val="000000"/>
          <w:sz w:val="24"/>
          <w:szCs w:val="24"/>
          <w:lang w:eastAsia="en-AU"/>
        </w:rPr>
        <w:t> </w:t>
      </w:r>
      <w:r w:rsidRPr="00545BF8">
        <w:rPr>
          <w:rFonts w:eastAsia="Times New Roman" w:cs="Times New Roman"/>
          <w:iCs/>
          <w:color w:val="000000"/>
          <w:sz w:val="24"/>
          <w:szCs w:val="24"/>
          <w:lang w:eastAsia="en-AU"/>
        </w:rPr>
        <w:t xml:space="preserve">13(1)(b) of the </w:t>
      </w:r>
      <w:r w:rsidRPr="00545BF8">
        <w:rPr>
          <w:rFonts w:eastAsia="Times New Roman" w:cs="Times New Roman"/>
          <w:i/>
          <w:iCs/>
          <w:color w:val="000000"/>
          <w:sz w:val="24"/>
          <w:szCs w:val="24"/>
          <w:lang w:eastAsia="en-AU"/>
        </w:rPr>
        <w:t>Legislation Act 2003</w:t>
      </w:r>
      <w:r w:rsidRPr="00545BF8">
        <w:rPr>
          <w:rFonts w:eastAsia="Times New Roman" w:cs="Times New Roman"/>
          <w:iCs/>
          <w:color w:val="000000"/>
          <w:sz w:val="24"/>
          <w:szCs w:val="24"/>
          <w:lang w:eastAsia="en-AU"/>
        </w:rPr>
        <w:t>)</w:t>
      </w:r>
    </w:p>
    <w:p w:rsidR="005A7F32" w:rsidRDefault="005A7F32" w:rsidP="005A7F32">
      <w:pPr>
        <w:rPr>
          <w:szCs w:val="22"/>
        </w:rPr>
      </w:pPr>
    </w:p>
    <w:p w:rsidR="005A7F32" w:rsidRPr="00545BF8" w:rsidRDefault="005A7F32" w:rsidP="005A7F32">
      <w:pPr>
        <w:rPr>
          <w:szCs w:val="22"/>
        </w:rPr>
      </w:pPr>
      <w:r w:rsidRPr="00545BF8">
        <w:rPr>
          <w:szCs w:val="22"/>
        </w:rPr>
        <w:t>The words “(subsection</w:t>
      </w:r>
      <w:r>
        <w:rPr>
          <w:szCs w:val="22"/>
        </w:rPr>
        <w:t> </w:t>
      </w:r>
      <w:r w:rsidRPr="00545BF8">
        <w:rPr>
          <w:szCs w:val="22"/>
        </w:rPr>
        <w:t xml:space="preserve">13(1) of the </w:t>
      </w:r>
      <w:r w:rsidRPr="00545BF8">
        <w:rPr>
          <w:i/>
          <w:szCs w:val="22"/>
        </w:rPr>
        <w:t>Legislative Instruments Act 2003</w:t>
      </w:r>
      <w:r w:rsidRPr="00545BF8">
        <w:rPr>
          <w:szCs w:val="22"/>
        </w:rPr>
        <w:t>)” do not appear. However the words “(see subsection</w:t>
      </w:r>
      <w:r>
        <w:rPr>
          <w:szCs w:val="22"/>
        </w:rPr>
        <w:t> </w:t>
      </w:r>
      <w:r w:rsidRPr="00545BF8">
        <w:rPr>
          <w:szCs w:val="22"/>
        </w:rPr>
        <w:t xml:space="preserve">13(1) of the </w:t>
      </w:r>
      <w:r w:rsidRPr="00545BF8">
        <w:rPr>
          <w:i/>
          <w:szCs w:val="22"/>
        </w:rPr>
        <w:t>Legislative Instruments Act 2003</w:t>
      </w:r>
      <w:r w:rsidRPr="00545BF8">
        <w:rPr>
          <w:szCs w:val="22"/>
        </w:rPr>
        <w:t>)” do appear.</w:t>
      </w:r>
    </w:p>
    <w:p w:rsidR="005A7F32" w:rsidRPr="00545BF8" w:rsidRDefault="005A7F32" w:rsidP="005A7F32">
      <w:pPr>
        <w:rPr>
          <w:szCs w:val="22"/>
        </w:rPr>
      </w:pPr>
    </w:p>
    <w:p w:rsidR="005A7F32" w:rsidRPr="00545BF8" w:rsidRDefault="005A7F32" w:rsidP="005A7F32">
      <w:pPr>
        <w:rPr>
          <w:szCs w:val="22"/>
        </w:rPr>
      </w:pPr>
      <w:r w:rsidRPr="00545BF8">
        <w:rPr>
          <w:szCs w:val="22"/>
        </w:rPr>
        <w:t>This compilation was editorially changed to omit the words “(see subsection</w:t>
      </w:r>
      <w:r>
        <w:rPr>
          <w:szCs w:val="22"/>
        </w:rPr>
        <w:t> </w:t>
      </w:r>
      <w:r w:rsidRPr="00545BF8">
        <w:rPr>
          <w:szCs w:val="22"/>
        </w:rPr>
        <w:t xml:space="preserve">13(1) of the </w:t>
      </w:r>
      <w:r w:rsidRPr="00545BF8">
        <w:rPr>
          <w:i/>
          <w:szCs w:val="22"/>
        </w:rPr>
        <w:t>Legislative Instruments Act 2003</w:t>
      </w:r>
      <w:r w:rsidRPr="00545BF8">
        <w:rPr>
          <w:szCs w:val="22"/>
        </w:rPr>
        <w:t>)” and substitute “</w:t>
      </w:r>
      <w:r w:rsidRPr="00545BF8">
        <w:rPr>
          <w:rFonts w:eastAsia="Times New Roman" w:cs="Times New Roman"/>
          <w:iCs/>
          <w:color w:val="000000"/>
          <w:szCs w:val="22"/>
          <w:lang w:eastAsia="en-AU"/>
        </w:rPr>
        <w:t>(paragraph</w:t>
      </w:r>
      <w:r>
        <w:rPr>
          <w:rFonts w:eastAsia="Times New Roman" w:cs="Times New Roman"/>
          <w:iCs/>
          <w:color w:val="000000"/>
          <w:szCs w:val="22"/>
          <w:lang w:eastAsia="en-AU"/>
        </w:rPr>
        <w:t> </w:t>
      </w:r>
      <w:r w:rsidRPr="00545BF8">
        <w:rPr>
          <w:rFonts w:eastAsia="Times New Roman" w:cs="Times New Roman"/>
          <w:iCs/>
          <w:color w:val="000000"/>
          <w:szCs w:val="22"/>
          <w:lang w:eastAsia="en-AU"/>
        </w:rPr>
        <w:t xml:space="preserve">13(1)(b) of the </w:t>
      </w:r>
      <w:r w:rsidRPr="00545BF8">
        <w:rPr>
          <w:rFonts w:eastAsia="Times New Roman" w:cs="Times New Roman"/>
          <w:i/>
          <w:iCs/>
          <w:color w:val="000000"/>
          <w:szCs w:val="22"/>
          <w:lang w:eastAsia="en-AU"/>
        </w:rPr>
        <w:t>Legislation Act 2003</w:t>
      </w:r>
      <w:r w:rsidRPr="00545BF8">
        <w:rPr>
          <w:rFonts w:eastAsia="Times New Roman" w:cs="Times New Roman"/>
          <w:iCs/>
          <w:color w:val="000000"/>
          <w:szCs w:val="22"/>
          <w:lang w:eastAsia="en-AU"/>
        </w:rPr>
        <w:t>)” and give effect to the misdescribed amendment as intended</w:t>
      </w:r>
      <w:r w:rsidRPr="00545BF8">
        <w:rPr>
          <w:szCs w:val="22"/>
        </w:rPr>
        <w:t>.</w:t>
      </w:r>
    </w:p>
    <w:p w:rsidR="00DD5C9D" w:rsidRDefault="00DD5C9D" w:rsidP="003B5738">
      <w:pPr>
        <w:pStyle w:val="Head2"/>
      </w:pPr>
      <w:r w:rsidRPr="00D96C45">
        <w:t>Social Security Act 1991</w:t>
      </w:r>
      <w:r>
        <w:t xml:space="preserve">, </w:t>
      </w:r>
      <w:r w:rsidRPr="00DD5C9D">
        <w:t>Compilation No.</w:t>
      </w:r>
      <w:r>
        <w:t xml:space="preserve"> 153, Registration Date: 13 January 2017</w:t>
      </w:r>
    </w:p>
    <w:p w:rsidR="00DD5C9D" w:rsidRPr="00F2598C" w:rsidRDefault="00DD5C9D" w:rsidP="00DD5C9D"/>
    <w:p w:rsidR="00DD5C9D" w:rsidRPr="004549F1" w:rsidRDefault="00DD5C9D" w:rsidP="00DD5C9D">
      <w:pPr>
        <w:rPr>
          <w:b/>
          <w:sz w:val="24"/>
          <w:szCs w:val="24"/>
        </w:rPr>
      </w:pPr>
      <w:r>
        <w:rPr>
          <w:b/>
          <w:sz w:val="24"/>
          <w:szCs w:val="24"/>
        </w:rPr>
        <w:t>Section 1068 (heading)</w:t>
      </w:r>
    </w:p>
    <w:p w:rsidR="00DD5C9D" w:rsidRPr="004549F1" w:rsidRDefault="00DD5C9D" w:rsidP="00DD5C9D">
      <w:pPr>
        <w:rPr>
          <w:b/>
        </w:rPr>
      </w:pPr>
    </w:p>
    <w:p w:rsidR="00DD5C9D" w:rsidRPr="004549F1" w:rsidRDefault="00DD5C9D" w:rsidP="00DD5C9D">
      <w:pPr>
        <w:rPr>
          <w:b/>
        </w:rPr>
      </w:pPr>
      <w:r w:rsidRPr="004549F1">
        <w:rPr>
          <w:b/>
        </w:rPr>
        <w:t>Kind of editorial change</w:t>
      </w:r>
    </w:p>
    <w:p w:rsidR="00DD5C9D" w:rsidRPr="004549F1" w:rsidRDefault="00DD5C9D" w:rsidP="00DD5C9D"/>
    <w:p w:rsidR="00DD5C9D" w:rsidRPr="004549F1" w:rsidRDefault="00DD5C9D" w:rsidP="00DD5C9D">
      <w:pPr>
        <w:rPr>
          <w:b/>
        </w:rPr>
      </w:pPr>
      <w:r>
        <w:t>Change to grammar, syntax or the use of conjunctives or disjunctives and changes to punctuation</w:t>
      </w:r>
    </w:p>
    <w:p w:rsidR="00DD5C9D" w:rsidRPr="004549F1" w:rsidRDefault="00DD5C9D" w:rsidP="00DD5C9D"/>
    <w:p w:rsidR="00DD5C9D" w:rsidRPr="004549F1" w:rsidRDefault="00DD5C9D" w:rsidP="000B0B1A">
      <w:pPr>
        <w:keepNext/>
        <w:rPr>
          <w:b/>
        </w:rPr>
      </w:pPr>
      <w:r w:rsidRPr="004549F1">
        <w:rPr>
          <w:b/>
        </w:rPr>
        <w:t>Details of editorial change</w:t>
      </w:r>
    </w:p>
    <w:p w:rsidR="00DD5C9D" w:rsidRPr="004549F1" w:rsidRDefault="00DD5C9D" w:rsidP="000B0B1A">
      <w:pPr>
        <w:keepNext/>
        <w:rPr>
          <w:b/>
        </w:rPr>
      </w:pPr>
    </w:p>
    <w:p w:rsidR="00DD5C9D" w:rsidRDefault="00DD5C9D" w:rsidP="00DD5C9D">
      <w:r>
        <w:t>The heading to section 1068 reads “Rate of widow allowance, Newstart allowance (18 or over) sickness allowance (18 or over) partner allowance, and mature age allowance under Part 2.12B”.</w:t>
      </w:r>
    </w:p>
    <w:p w:rsidR="00DD5C9D" w:rsidRDefault="00DD5C9D" w:rsidP="00DD5C9D"/>
    <w:p w:rsidR="00DD5C9D" w:rsidRPr="004549F1" w:rsidRDefault="00DD5C9D" w:rsidP="00DD5C9D">
      <w:r>
        <w:t>This compilation was editorially changed to replace the capital “N” in “Newstart” with a lowercase “n” and insert a comma after both occurrences of “(18 or over)” in the heading to section 1068 to correct the grammatical and punctuation errors.</w:t>
      </w:r>
    </w:p>
    <w:p w:rsidR="00B82F13" w:rsidRDefault="00B82F13" w:rsidP="0054153D">
      <w:pPr>
        <w:pStyle w:val="Head2"/>
      </w:pPr>
      <w:r>
        <w:t>Aged Care (Subsidy, Fees and Payments) Determination 2014, Compilation No. 10, Registration Date: 10 January 2017</w:t>
      </w:r>
    </w:p>
    <w:p w:rsidR="00B82F13" w:rsidRPr="00F2598C" w:rsidRDefault="00B82F13" w:rsidP="0054153D">
      <w:pPr>
        <w:keepNext/>
      </w:pPr>
    </w:p>
    <w:p w:rsidR="00B82F13" w:rsidRPr="004549F1" w:rsidRDefault="00B82F13" w:rsidP="00B82F13">
      <w:pPr>
        <w:rPr>
          <w:b/>
          <w:sz w:val="24"/>
          <w:szCs w:val="24"/>
        </w:rPr>
      </w:pPr>
      <w:r>
        <w:rPr>
          <w:b/>
          <w:sz w:val="24"/>
          <w:szCs w:val="24"/>
        </w:rPr>
        <w:t>Section 60</w:t>
      </w:r>
    </w:p>
    <w:p w:rsidR="00B82F13" w:rsidRPr="004549F1" w:rsidRDefault="00B82F13" w:rsidP="00B82F13">
      <w:pPr>
        <w:rPr>
          <w:b/>
        </w:rPr>
      </w:pPr>
    </w:p>
    <w:p w:rsidR="00B82F13" w:rsidRPr="004549F1" w:rsidRDefault="00B82F13" w:rsidP="00B82F13">
      <w:pPr>
        <w:rPr>
          <w:b/>
        </w:rPr>
      </w:pPr>
      <w:r w:rsidRPr="004549F1">
        <w:rPr>
          <w:b/>
        </w:rPr>
        <w:t>Kind of editorial change</w:t>
      </w:r>
    </w:p>
    <w:p w:rsidR="00B82F13" w:rsidRDefault="00B82F13" w:rsidP="00B82F13"/>
    <w:p w:rsidR="00B82F13" w:rsidRDefault="00B82F13" w:rsidP="00B82F13">
      <w:r>
        <w:rPr>
          <w:szCs w:val="22"/>
        </w:rPr>
        <w:t>Give effect to the misdescribed amendments as intended</w:t>
      </w:r>
    </w:p>
    <w:p w:rsidR="00B82F13" w:rsidRPr="004549F1" w:rsidRDefault="00B82F13" w:rsidP="00B82F13"/>
    <w:p w:rsidR="00B82F13" w:rsidRPr="004549F1" w:rsidRDefault="00B82F13" w:rsidP="005A7F32">
      <w:pPr>
        <w:keepNext/>
        <w:rPr>
          <w:b/>
        </w:rPr>
      </w:pPr>
      <w:r w:rsidRPr="004549F1">
        <w:rPr>
          <w:b/>
        </w:rPr>
        <w:lastRenderedPageBreak/>
        <w:t>Details of editorial change</w:t>
      </w:r>
    </w:p>
    <w:p w:rsidR="00B82F13" w:rsidRPr="004549F1" w:rsidRDefault="00B82F13" w:rsidP="005A7F32">
      <w:pPr>
        <w:keepNext/>
        <w:rPr>
          <w:b/>
        </w:rPr>
      </w:pPr>
    </w:p>
    <w:p w:rsidR="00B82F13" w:rsidRDefault="00B82F13" w:rsidP="001A5ED7">
      <w:pPr>
        <w:keepLines/>
        <w:rPr>
          <w:szCs w:val="22"/>
        </w:rPr>
      </w:pPr>
      <w:r>
        <w:rPr>
          <w:szCs w:val="22"/>
        </w:rPr>
        <w:t>Schedule 1, i</w:t>
      </w:r>
      <w:r w:rsidRPr="00FC5F3A">
        <w:rPr>
          <w:szCs w:val="22"/>
        </w:rPr>
        <w:t>tem 4 of the</w:t>
      </w:r>
      <w:r>
        <w:rPr>
          <w:b/>
          <w:szCs w:val="22"/>
        </w:rPr>
        <w:t xml:space="preserve"> </w:t>
      </w:r>
      <w:r w:rsidRPr="00FC5F3A">
        <w:rPr>
          <w:i/>
          <w:szCs w:val="22"/>
        </w:rPr>
        <w:t>Aged Care (Subsidy, Fees and Payments) Amendment (Viability Supplement) Determination 2016</w:t>
      </w:r>
      <w:r>
        <w:rPr>
          <w:szCs w:val="22"/>
        </w:rPr>
        <w:t xml:space="preserve"> instructs the substitution of subsection 60(1) with a new section 60 (including a heading and subsections 60(1) and (2)), which would result in two headings and two subsection 60(2)s. </w:t>
      </w:r>
    </w:p>
    <w:p w:rsidR="00B82F13" w:rsidRDefault="00B82F13" w:rsidP="00B82F13">
      <w:pPr>
        <w:rPr>
          <w:szCs w:val="22"/>
        </w:rPr>
      </w:pPr>
    </w:p>
    <w:p w:rsidR="00B82F13" w:rsidRPr="0001733C" w:rsidRDefault="00B82F13" w:rsidP="00B82F13">
      <w:pPr>
        <w:pStyle w:val="EnStatementHeading0"/>
        <w:rPr>
          <w:b w:val="0"/>
        </w:rPr>
      </w:pPr>
      <w:r>
        <w:rPr>
          <w:b w:val="0"/>
          <w:szCs w:val="22"/>
        </w:rPr>
        <w:t>However substituting section 60 for existing section 60 would give effect to the amendment as intended.</w:t>
      </w:r>
    </w:p>
    <w:p w:rsidR="004671F4" w:rsidRDefault="004671F4" w:rsidP="003B5738">
      <w:pPr>
        <w:pStyle w:val="Head2"/>
      </w:pPr>
      <w:r>
        <w:t>National Health (Listing of Pharmaceutical Benefits) Instrument 2012 (PB 71 of 2012), Compilation No. 51, Registration Date: 10 January 2017</w:t>
      </w:r>
    </w:p>
    <w:p w:rsidR="004671F4" w:rsidRPr="00F2598C" w:rsidRDefault="004671F4" w:rsidP="004671F4"/>
    <w:p w:rsidR="004671F4" w:rsidRPr="00EF0C2A" w:rsidRDefault="004671F4" w:rsidP="004671F4">
      <w:pPr>
        <w:rPr>
          <w:b/>
          <w:sz w:val="24"/>
          <w:szCs w:val="24"/>
        </w:rPr>
      </w:pPr>
      <w:r w:rsidRPr="00FD315B">
        <w:rPr>
          <w:b/>
          <w:sz w:val="24"/>
          <w:szCs w:val="24"/>
        </w:rPr>
        <w:t xml:space="preserve">Schedule 1, entry for </w:t>
      </w:r>
      <w:r w:rsidRPr="00B20065">
        <w:rPr>
          <w:b/>
          <w:sz w:val="24"/>
          <w:szCs w:val="24"/>
        </w:rPr>
        <w:t>Trandolapril with Verapamil</w:t>
      </w:r>
    </w:p>
    <w:p w:rsidR="004671F4" w:rsidRPr="00EF0C2A" w:rsidRDefault="004671F4" w:rsidP="004671F4">
      <w:pPr>
        <w:rPr>
          <w:b/>
        </w:rPr>
      </w:pPr>
    </w:p>
    <w:p w:rsidR="004671F4" w:rsidRPr="00EF0C2A" w:rsidRDefault="004671F4" w:rsidP="004671F4">
      <w:pPr>
        <w:rPr>
          <w:b/>
        </w:rPr>
      </w:pPr>
      <w:r w:rsidRPr="00EF0C2A">
        <w:rPr>
          <w:b/>
        </w:rPr>
        <w:t>Kind of editorial change</w:t>
      </w:r>
    </w:p>
    <w:p w:rsidR="004671F4" w:rsidRPr="00EF0C2A" w:rsidRDefault="004671F4" w:rsidP="004671F4">
      <w:pPr>
        <w:rPr>
          <w:b/>
        </w:rPr>
      </w:pPr>
    </w:p>
    <w:p w:rsidR="004671F4" w:rsidRPr="009A50D1" w:rsidRDefault="004671F4" w:rsidP="004671F4">
      <w:r w:rsidRPr="00FD315B">
        <w:t>Give effect to the misdescribed amendment as intended</w:t>
      </w:r>
    </w:p>
    <w:p w:rsidR="004671F4" w:rsidRPr="00EF0C2A" w:rsidRDefault="004671F4" w:rsidP="004671F4">
      <w:pPr>
        <w:pStyle w:val="EnStatementHeading0"/>
      </w:pPr>
    </w:p>
    <w:p w:rsidR="004671F4" w:rsidRPr="00EF0C2A" w:rsidRDefault="004671F4" w:rsidP="00137048">
      <w:pPr>
        <w:keepNext/>
        <w:rPr>
          <w:b/>
        </w:rPr>
      </w:pPr>
      <w:r w:rsidRPr="00EF0C2A">
        <w:rPr>
          <w:b/>
        </w:rPr>
        <w:t>Details of editorial change</w:t>
      </w:r>
    </w:p>
    <w:p w:rsidR="004671F4" w:rsidRDefault="004671F4" w:rsidP="00137048">
      <w:pPr>
        <w:keepNext/>
      </w:pPr>
    </w:p>
    <w:p w:rsidR="004671F4" w:rsidRPr="00B20065" w:rsidRDefault="004671F4" w:rsidP="00137048">
      <w:pPr>
        <w:keepNext/>
      </w:pPr>
      <w:r w:rsidRPr="00B20065">
        <w:t xml:space="preserve">Schedule 1 item [112] of the </w:t>
      </w:r>
      <w:r w:rsidRPr="00B20065">
        <w:rPr>
          <w:i/>
        </w:rPr>
        <w:t>National Health (Listing of Pharmaceutical Benefits) Amendment Instrument 2016 (No. 12)</w:t>
      </w:r>
      <w:r w:rsidRPr="00B20065">
        <w:t xml:space="preserve"> instructs as follows:</w:t>
      </w:r>
    </w:p>
    <w:p w:rsidR="004671F4" w:rsidRPr="00B20065" w:rsidRDefault="004671F4" w:rsidP="004671F4"/>
    <w:p w:rsidR="004671F4" w:rsidRPr="00B20065" w:rsidRDefault="004671F4" w:rsidP="004671F4">
      <w:pPr>
        <w:shd w:val="clear" w:color="auto" w:fill="FFFFFF"/>
        <w:spacing w:before="120" w:line="240" w:lineRule="auto"/>
        <w:ind w:left="663" w:hanging="720"/>
        <w:rPr>
          <w:rFonts w:eastAsia="Times New Roman" w:cs="Times New Roman"/>
          <w:sz w:val="24"/>
          <w:szCs w:val="24"/>
          <w:lang w:val="en-US" w:eastAsia="en-AU"/>
        </w:rPr>
      </w:pPr>
      <w:r w:rsidRPr="00B20065">
        <w:rPr>
          <w:rFonts w:ascii="Arial" w:eastAsia="Times New Roman" w:hAnsi="Arial" w:cs="Arial"/>
          <w:b/>
          <w:bCs/>
          <w:sz w:val="20"/>
          <w:lang w:eastAsia="en-AU"/>
        </w:rPr>
        <w:tab/>
        <w:t>Schedule 1, entry for Trandolapril with Verapamil in each of the forms: Tablet containing trandolapril 2 mg with verapamil hydrochloride 180 mg (sustained release); and Tablet containing trandolapril 4 mg with verapamil hydrochloride 240 mg (sustained release)</w:t>
      </w:r>
    </w:p>
    <w:p w:rsidR="004671F4" w:rsidRPr="00B20065" w:rsidRDefault="004671F4" w:rsidP="004671F4">
      <w:pPr>
        <w:shd w:val="clear" w:color="auto" w:fill="FFFFFF"/>
        <w:spacing w:before="60" w:after="60"/>
        <w:ind w:left="709"/>
        <w:rPr>
          <w:rFonts w:eastAsia="Times New Roman" w:cs="Times New Roman"/>
          <w:sz w:val="24"/>
          <w:szCs w:val="24"/>
          <w:lang w:val="en-US" w:eastAsia="en-AU"/>
        </w:rPr>
      </w:pPr>
      <w:r w:rsidRPr="00B20065">
        <w:rPr>
          <w:rFonts w:eastAsia="Times New Roman" w:cs="Times New Roman"/>
          <w:i/>
          <w:iCs/>
          <w:sz w:val="20"/>
          <w:lang w:eastAsia="en-AU"/>
        </w:rPr>
        <w:t xml:space="preserve">omit from the column headed “Responsible Person” for the brands “Tarka 2/180” and “Tarka 4/280”:      </w:t>
      </w:r>
      <w:r w:rsidRPr="00B20065">
        <w:rPr>
          <w:rFonts w:ascii="Arial" w:eastAsia="Times New Roman" w:hAnsi="Arial" w:cs="Arial"/>
          <w:b/>
          <w:bCs/>
          <w:sz w:val="20"/>
          <w:lang w:eastAsia="en-AU"/>
        </w:rPr>
        <w:t xml:space="preserve">GO       </w:t>
      </w:r>
      <w:r w:rsidRPr="00B20065">
        <w:rPr>
          <w:rFonts w:eastAsia="Times New Roman" w:cs="Times New Roman"/>
          <w:i/>
          <w:iCs/>
          <w:sz w:val="20"/>
          <w:lang w:eastAsia="en-AU"/>
        </w:rPr>
        <w:t xml:space="preserve">substitute:                </w:t>
      </w:r>
      <w:r w:rsidRPr="00B20065">
        <w:rPr>
          <w:rFonts w:ascii="Arial" w:eastAsia="Times New Roman" w:hAnsi="Arial" w:cs="Arial"/>
          <w:b/>
          <w:bCs/>
          <w:sz w:val="20"/>
          <w:lang w:eastAsia="en-AU"/>
        </w:rPr>
        <w:t>AF</w:t>
      </w:r>
    </w:p>
    <w:p w:rsidR="004671F4" w:rsidRPr="00B20065" w:rsidRDefault="004671F4" w:rsidP="004671F4"/>
    <w:p w:rsidR="004671F4" w:rsidRPr="00B20065" w:rsidRDefault="004671F4" w:rsidP="004671F4">
      <w:r w:rsidRPr="00B20065">
        <w:t>The words “Tarka 4/280” do not appear</w:t>
      </w:r>
      <w:r>
        <w:t>.</w:t>
      </w:r>
      <w:r w:rsidRPr="00B20065">
        <w:t xml:space="preserve"> However the words “Tarka 4/240” do appear.</w:t>
      </w:r>
    </w:p>
    <w:p w:rsidR="004671F4" w:rsidRPr="00B20065" w:rsidRDefault="004671F4" w:rsidP="004671F4"/>
    <w:p w:rsidR="004671F4" w:rsidRPr="00F41C15" w:rsidRDefault="004671F4" w:rsidP="004671F4">
      <w:r w:rsidRPr="00B20065">
        <w:t>This compilation was editorially changed to replace the letters “</w:t>
      </w:r>
      <w:r w:rsidRPr="00B20065">
        <w:rPr>
          <w:b/>
        </w:rPr>
        <w:t>GO</w:t>
      </w:r>
      <w:r w:rsidRPr="00B20065">
        <w:t>” with “</w:t>
      </w:r>
      <w:r w:rsidRPr="00B20065">
        <w:rPr>
          <w:b/>
        </w:rPr>
        <w:t>AF</w:t>
      </w:r>
      <w:r w:rsidRPr="00B20065">
        <w:t xml:space="preserve">” </w:t>
      </w:r>
      <w:r>
        <w:t xml:space="preserve">for the brand “Tarka 4/240” </w:t>
      </w:r>
      <w:r w:rsidRPr="00B20065">
        <w:t>in the entry for Trandolapril with Verapamil in Schedule 1 and give effect to the misdescribed amendment as intended.</w:t>
      </w:r>
    </w:p>
    <w:p w:rsidR="003B5738" w:rsidRDefault="003B5738" w:rsidP="003B5738">
      <w:pPr>
        <w:pStyle w:val="Head2"/>
      </w:pPr>
      <w:r>
        <w:t xml:space="preserve">Primary Industries Levies and Charges Collection Regulations 1991, </w:t>
      </w:r>
      <w:r w:rsidRPr="003B5738">
        <w:t>Compilation No. 74</w:t>
      </w:r>
      <w:r>
        <w:t>, Registration Date: 6 January 2017</w:t>
      </w:r>
    </w:p>
    <w:p w:rsidR="003B5738" w:rsidRDefault="003B5738" w:rsidP="00DD5C9D">
      <w:pPr>
        <w:keepNext/>
        <w:rPr>
          <w:b/>
          <w:sz w:val="24"/>
          <w:szCs w:val="24"/>
        </w:rPr>
      </w:pPr>
    </w:p>
    <w:p w:rsidR="003B5738" w:rsidRPr="00E25D47" w:rsidRDefault="003B5738" w:rsidP="003B5738">
      <w:pPr>
        <w:rPr>
          <w:b/>
          <w:sz w:val="24"/>
          <w:szCs w:val="24"/>
        </w:rPr>
      </w:pPr>
      <w:r w:rsidRPr="00E25D47">
        <w:rPr>
          <w:b/>
          <w:sz w:val="24"/>
          <w:szCs w:val="24"/>
        </w:rPr>
        <w:t>Clause</w:t>
      </w:r>
      <w:r>
        <w:rPr>
          <w:b/>
          <w:sz w:val="24"/>
          <w:szCs w:val="24"/>
        </w:rPr>
        <w:t> </w:t>
      </w:r>
      <w:r w:rsidRPr="00E25D47">
        <w:rPr>
          <w:b/>
          <w:sz w:val="24"/>
          <w:szCs w:val="24"/>
        </w:rPr>
        <w:t>22.2</w:t>
      </w:r>
    </w:p>
    <w:p w:rsidR="003B5738" w:rsidRPr="00E25D47" w:rsidRDefault="003B5738" w:rsidP="003B5738">
      <w:pPr>
        <w:rPr>
          <w:b/>
        </w:rPr>
      </w:pPr>
    </w:p>
    <w:p w:rsidR="003B5738" w:rsidRPr="00E25D47" w:rsidRDefault="003B5738" w:rsidP="003B5738">
      <w:pPr>
        <w:rPr>
          <w:b/>
        </w:rPr>
      </w:pPr>
      <w:r w:rsidRPr="00E25D47">
        <w:rPr>
          <w:b/>
        </w:rPr>
        <w:t>Kind of editorial change</w:t>
      </w:r>
    </w:p>
    <w:p w:rsidR="003B5738" w:rsidRPr="00E25D47" w:rsidRDefault="003B5738" w:rsidP="003B5738"/>
    <w:p w:rsidR="003B5738" w:rsidRPr="00E25D47" w:rsidRDefault="003B5738" w:rsidP="003B5738">
      <w:pPr>
        <w:rPr>
          <w:b/>
        </w:rPr>
      </w:pPr>
      <w:r w:rsidRPr="00E25D47">
        <w:t xml:space="preserve">Correct a typographical error </w:t>
      </w:r>
    </w:p>
    <w:p w:rsidR="003B5738" w:rsidRPr="00E25D47" w:rsidRDefault="003B5738" w:rsidP="003B5738"/>
    <w:p w:rsidR="003B5738" w:rsidRPr="00E25D47" w:rsidRDefault="003B5738" w:rsidP="005A7F32">
      <w:pPr>
        <w:keepNext/>
        <w:rPr>
          <w:b/>
        </w:rPr>
      </w:pPr>
      <w:r w:rsidRPr="00E25D47">
        <w:rPr>
          <w:b/>
        </w:rPr>
        <w:lastRenderedPageBreak/>
        <w:t>Details of editorial change</w:t>
      </w:r>
    </w:p>
    <w:p w:rsidR="003B5738" w:rsidRPr="00E25D47" w:rsidRDefault="003B5738" w:rsidP="005A7F32">
      <w:pPr>
        <w:keepNext/>
        <w:rPr>
          <w:b/>
        </w:rPr>
      </w:pPr>
    </w:p>
    <w:p w:rsidR="003B5738" w:rsidRPr="00E25D47" w:rsidRDefault="003B5738" w:rsidP="005A7F32">
      <w:pPr>
        <w:keepNext/>
      </w:pPr>
      <w:r w:rsidRPr="00E25D47">
        <w:t>To correct the spelling “know” to “known” in the note to the definition of papaya.</w:t>
      </w:r>
    </w:p>
    <w:p w:rsidR="003B5738" w:rsidRPr="00E25D47" w:rsidRDefault="003B5738" w:rsidP="005A7F32">
      <w:pPr>
        <w:keepNext/>
      </w:pPr>
    </w:p>
    <w:p w:rsidR="003B5738" w:rsidRPr="00E25D47" w:rsidRDefault="003B5738" w:rsidP="003B5738">
      <w:r w:rsidRPr="00E25D47">
        <w:t>This compilation was editorially changed to correct the typographical error.</w:t>
      </w:r>
    </w:p>
    <w:p w:rsidR="006B074C" w:rsidRDefault="006B074C" w:rsidP="007A187E">
      <w:pPr>
        <w:pStyle w:val="Head2"/>
      </w:pPr>
      <w:r w:rsidRPr="003A2B6B">
        <w:t>Family Law Rules</w:t>
      </w:r>
      <w:r>
        <w:t xml:space="preserve"> </w:t>
      </w:r>
      <w:r w:rsidRPr="003A2B6B">
        <w:t>2004</w:t>
      </w:r>
      <w:r>
        <w:t>, Compilation No. 30, Registration Date: 5 January 2017</w:t>
      </w:r>
    </w:p>
    <w:p w:rsidR="006B074C" w:rsidRPr="003A2B6B" w:rsidRDefault="006B074C" w:rsidP="004671F4">
      <w:pPr>
        <w:keepNext/>
      </w:pPr>
    </w:p>
    <w:p w:rsidR="006B074C" w:rsidRPr="003A2B6B" w:rsidRDefault="006B074C" w:rsidP="004671F4">
      <w:pPr>
        <w:keepNext/>
        <w:rPr>
          <w:b/>
          <w:sz w:val="24"/>
          <w:szCs w:val="24"/>
        </w:rPr>
      </w:pPr>
      <w:r w:rsidRPr="003A2B6B">
        <w:rPr>
          <w:b/>
          <w:sz w:val="24"/>
          <w:szCs w:val="24"/>
        </w:rPr>
        <w:t>Rule</w:t>
      </w:r>
      <w:r>
        <w:rPr>
          <w:b/>
          <w:sz w:val="24"/>
          <w:szCs w:val="24"/>
        </w:rPr>
        <w:t> </w:t>
      </w:r>
      <w:r w:rsidRPr="003A2B6B">
        <w:rPr>
          <w:b/>
          <w:sz w:val="24"/>
          <w:szCs w:val="24"/>
        </w:rPr>
        <w:t>10.18</w:t>
      </w:r>
    </w:p>
    <w:p w:rsidR="006B074C" w:rsidRPr="003D706D" w:rsidRDefault="006B074C" w:rsidP="004671F4">
      <w:pPr>
        <w:keepNext/>
      </w:pPr>
    </w:p>
    <w:p w:rsidR="006B074C" w:rsidRPr="003A2B6B" w:rsidRDefault="006B074C" w:rsidP="004671F4">
      <w:pPr>
        <w:keepNext/>
        <w:rPr>
          <w:b/>
        </w:rPr>
      </w:pPr>
      <w:r w:rsidRPr="003A2B6B">
        <w:rPr>
          <w:b/>
        </w:rPr>
        <w:t>Kind of editorial change</w:t>
      </w:r>
    </w:p>
    <w:p w:rsidR="006B074C" w:rsidRPr="003A2B6B" w:rsidRDefault="006B074C" w:rsidP="006B074C"/>
    <w:p w:rsidR="006B074C" w:rsidRPr="003D706D" w:rsidRDefault="006B074C" w:rsidP="006B074C">
      <w:r w:rsidRPr="003A2B6B">
        <w:t>Change to grammar, syntax or the use of conjunctives or disjunctives</w:t>
      </w:r>
    </w:p>
    <w:p w:rsidR="006B074C" w:rsidRPr="003A2B6B" w:rsidRDefault="006B074C" w:rsidP="006B074C"/>
    <w:p w:rsidR="006B074C" w:rsidRPr="003A2B6B" w:rsidRDefault="006B074C" w:rsidP="006B074C">
      <w:pPr>
        <w:rPr>
          <w:b/>
        </w:rPr>
      </w:pPr>
      <w:r w:rsidRPr="003A2B6B">
        <w:rPr>
          <w:b/>
        </w:rPr>
        <w:t>Details of editorial change</w:t>
      </w:r>
    </w:p>
    <w:p w:rsidR="006B074C" w:rsidRPr="003D706D" w:rsidRDefault="006B074C" w:rsidP="006B074C"/>
    <w:p w:rsidR="006B074C" w:rsidRPr="003A2B6B" w:rsidRDefault="006B074C" w:rsidP="006B074C">
      <w:r w:rsidRPr="003A2B6B">
        <w:t>Rule</w:t>
      </w:r>
      <w:r>
        <w:t> </w:t>
      </w:r>
      <w:r w:rsidRPr="003A2B6B">
        <w:t>10.18 contains the phrase: “attached to a Application for Consent Orders”.</w:t>
      </w:r>
    </w:p>
    <w:p w:rsidR="006B074C" w:rsidRPr="003A2B6B" w:rsidRDefault="006B074C" w:rsidP="006B074C"/>
    <w:p w:rsidR="006B074C" w:rsidRDefault="006B074C" w:rsidP="009C0984">
      <w:r w:rsidRPr="003A2B6B">
        <w:t>This compilation was editorially changed to omit the word “a” and insert the word “an”, between the words “to” and “Application”, to correct this grammatical erro</w:t>
      </w:r>
      <w:r>
        <w:t>r.</w:t>
      </w:r>
    </w:p>
    <w:p w:rsidR="007A187E" w:rsidRDefault="007A187E" w:rsidP="007A187E">
      <w:pPr>
        <w:pStyle w:val="Head2"/>
      </w:pPr>
      <w:r w:rsidRPr="00780065">
        <w:t>Customs Act 1901</w:t>
      </w:r>
      <w:r>
        <w:t>,</w:t>
      </w:r>
      <w:r w:rsidRPr="00780065">
        <w:t xml:space="preserve"> </w:t>
      </w:r>
      <w:r>
        <w:t>Compilation No. 142, Registration Date: 4 January 2017</w:t>
      </w:r>
    </w:p>
    <w:p w:rsidR="007A187E" w:rsidRPr="00780065" w:rsidRDefault="007A187E" w:rsidP="007A187E">
      <w:pPr>
        <w:rPr>
          <w:b/>
        </w:rPr>
      </w:pPr>
    </w:p>
    <w:p w:rsidR="007A187E" w:rsidRPr="00EF0C2A" w:rsidRDefault="007A187E" w:rsidP="007A187E">
      <w:pPr>
        <w:rPr>
          <w:b/>
          <w:sz w:val="24"/>
          <w:szCs w:val="24"/>
        </w:rPr>
      </w:pPr>
      <w:r w:rsidRPr="00C34D68">
        <w:rPr>
          <w:b/>
          <w:sz w:val="24"/>
          <w:szCs w:val="24"/>
        </w:rPr>
        <w:t>Paragraph 86(1)(h)</w:t>
      </w:r>
    </w:p>
    <w:p w:rsidR="007A187E" w:rsidRPr="00EF0C2A" w:rsidRDefault="007A187E" w:rsidP="007A187E">
      <w:pPr>
        <w:rPr>
          <w:b/>
        </w:rPr>
      </w:pPr>
    </w:p>
    <w:p w:rsidR="007A187E" w:rsidRPr="00EF0C2A" w:rsidRDefault="007A187E" w:rsidP="007A187E">
      <w:pPr>
        <w:rPr>
          <w:b/>
        </w:rPr>
      </w:pPr>
      <w:r w:rsidRPr="00EF0C2A">
        <w:rPr>
          <w:b/>
        </w:rPr>
        <w:t>Kind of editorial change</w:t>
      </w:r>
    </w:p>
    <w:p w:rsidR="007A187E" w:rsidRPr="00EF0C2A" w:rsidRDefault="007A187E" w:rsidP="007A187E">
      <w:pPr>
        <w:rPr>
          <w:b/>
        </w:rPr>
      </w:pPr>
    </w:p>
    <w:p w:rsidR="007A187E" w:rsidRPr="009A50D1" w:rsidRDefault="007A187E" w:rsidP="007A187E">
      <w:r w:rsidRPr="00C34D68">
        <w:t>Change to punctuation</w:t>
      </w:r>
    </w:p>
    <w:p w:rsidR="007A187E" w:rsidRPr="00EF0C2A" w:rsidRDefault="007A187E" w:rsidP="007A187E">
      <w:pPr>
        <w:pStyle w:val="EnStatementHeading0"/>
      </w:pPr>
    </w:p>
    <w:p w:rsidR="007A187E" w:rsidRPr="00EF0C2A" w:rsidRDefault="007A187E" w:rsidP="000B0B1A">
      <w:pPr>
        <w:keepNext/>
        <w:rPr>
          <w:b/>
        </w:rPr>
      </w:pPr>
      <w:r w:rsidRPr="00EF0C2A">
        <w:rPr>
          <w:b/>
        </w:rPr>
        <w:t>Details of editorial change</w:t>
      </w:r>
    </w:p>
    <w:p w:rsidR="007A187E" w:rsidRPr="00EF0C2A" w:rsidRDefault="007A187E" w:rsidP="000B0B1A">
      <w:pPr>
        <w:keepNext/>
        <w:rPr>
          <w:b/>
        </w:rPr>
      </w:pPr>
    </w:p>
    <w:p w:rsidR="007A187E" w:rsidRDefault="007A187E" w:rsidP="000B0B1A">
      <w:pPr>
        <w:keepNext/>
      </w:pPr>
      <w:r>
        <w:t xml:space="preserve">Schedule 1 item 13 of the </w:t>
      </w:r>
      <w:r w:rsidRPr="00CA797A">
        <w:rPr>
          <w:i/>
        </w:rPr>
        <w:t>Customs Amendment (Fees and Charges) Act 2015</w:t>
      </w:r>
      <w:r>
        <w:t xml:space="preserve"> instructs as follows:</w:t>
      </w:r>
    </w:p>
    <w:p w:rsidR="007A187E" w:rsidRDefault="007A187E" w:rsidP="000B0B1A">
      <w:pPr>
        <w:keepNext/>
      </w:pPr>
    </w:p>
    <w:p w:rsidR="007A187E" w:rsidRPr="009961A7" w:rsidRDefault="007A187E" w:rsidP="000B0B1A">
      <w:pPr>
        <w:pStyle w:val="ItemHead"/>
        <w:keepNext/>
        <w:keepLines w:val="0"/>
      </w:pPr>
      <w:r w:rsidRPr="009961A7">
        <w:t>13  Paragraph 86(1)(h)</w:t>
      </w:r>
    </w:p>
    <w:p w:rsidR="007A187E" w:rsidRPr="009961A7" w:rsidRDefault="007A187E" w:rsidP="007A187E">
      <w:pPr>
        <w:pStyle w:val="Item"/>
      </w:pPr>
      <w:r w:rsidRPr="009961A7">
        <w:t>Repeal the paragraph, substitute:</w:t>
      </w:r>
    </w:p>
    <w:p w:rsidR="007A187E" w:rsidRPr="009961A7" w:rsidRDefault="007A187E" w:rsidP="007A187E">
      <w:pPr>
        <w:pStyle w:val="paragraph"/>
      </w:pPr>
      <w:r w:rsidRPr="009961A7">
        <w:tab/>
        <w:t>(h)</w:t>
      </w:r>
      <w:r w:rsidRPr="009961A7">
        <w:tab/>
        <w:t>an amount of a warehouse licence charge payable in respect of the licence remains unpaid more than 28 days after the day the amount was due to be paid.</w:t>
      </w:r>
    </w:p>
    <w:p w:rsidR="007A187E" w:rsidRDefault="007A187E" w:rsidP="007A187E"/>
    <w:p w:rsidR="007A187E" w:rsidRDefault="007A187E" w:rsidP="007A187E">
      <w:r>
        <w:t>Paragraph 86(1)(h) ends in a full stop, however there is continuing text under the paragraph.</w:t>
      </w:r>
    </w:p>
    <w:p w:rsidR="007A187E" w:rsidRDefault="007A187E" w:rsidP="007A187E"/>
    <w:p w:rsidR="007A187E" w:rsidRPr="00780065" w:rsidRDefault="007A187E" w:rsidP="007A187E">
      <w:r>
        <w:t>This compilation was editorially changed to omit the full-stop at the end of paragraph 86(1)(h) and insert a semi-colon to bring it into line with legislative drafting practice.</w:t>
      </w:r>
    </w:p>
    <w:p w:rsidR="009C1D80" w:rsidRPr="00CF6693" w:rsidRDefault="00CF6693" w:rsidP="005A7F32">
      <w:pPr>
        <w:pStyle w:val="Head2"/>
      </w:pPr>
      <w:r w:rsidRPr="00CF6693">
        <w:lastRenderedPageBreak/>
        <w:t>Income Tax Assessment Act 1997</w:t>
      </w:r>
      <w:r w:rsidR="009C1D80" w:rsidRPr="00CF6693">
        <w:t>, Compilation No. 1</w:t>
      </w:r>
      <w:r w:rsidRPr="00CF6693">
        <w:t>63</w:t>
      </w:r>
      <w:r w:rsidR="009C1D80" w:rsidRPr="00CF6693">
        <w:t xml:space="preserve">, Registration Date: </w:t>
      </w:r>
      <w:r w:rsidRPr="00CF6693">
        <w:t>3 January 2017</w:t>
      </w:r>
    </w:p>
    <w:p w:rsidR="009C1D80" w:rsidRPr="00CF6693" w:rsidRDefault="009C1D80" w:rsidP="005A7F32">
      <w:pPr>
        <w:keepNext/>
        <w:rPr>
          <w:b/>
        </w:rPr>
      </w:pPr>
    </w:p>
    <w:p w:rsidR="00025B66" w:rsidRPr="00C660CF" w:rsidRDefault="00025B66" w:rsidP="005A7F32">
      <w:pPr>
        <w:keepNext/>
        <w:rPr>
          <w:b/>
          <w:sz w:val="24"/>
          <w:szCs w:val="24"/>
        </w:rPr>
      </w:pPr>
      <w:r>
        <w:rPr>
          <w:b/>
          <w:sz w:val="24"/>
          <w:szCs w:val="24"/>
        </w:rPr>
        <w:t>Paragraph 320-247</w:t>
      </w:r>
      <w:r w:rsidRPr="00C660CF">
        <w:rPr>
          <w:b/>
          <w:sz w:val="24"/>
          <w:szCs w:val="24"/>
        </w:rPr>
        <w:t>(2)</w:t>
      </w:r>
      <w:r>
        <w:rPr>
          <w:b/>
          <w:sz w:val="24"/>
          <w:szCs w:val="24"/>
        </w:rPr>
        <w:t>(a)</w:t>
      </w:r>
    </w:p>
    <w:p w:rsidR="00025B66" w:rsidRDefault="00025B66" w:rsidP="005A7F32">
      <w:pPr>
        <w:keepNext/>
        <w:rPr>
          <w:b/>
        </w:rPr>
      </w:pPr>
    </w:p>
    <w:p w:rsidR="009C1D80" w:rsidRPr="00CF6693" w:rsidRDefault="009C1D80" w:rsidP="009C1D80">
      <w:pPr>
        <w:rPr>
          <w:b/>
        </w:rPr>
      </w:pPr>
      <w:r w:rsidRPr="00CF6693">
        <w:rPr>
          <w:b/>
        </w:rPr>
        <w:t>Kind of editorial change</w:t>
      </w:r>
    </w:p>
    <w:p w:rsidR="009C1D80" w:rsidRPr="00CF6693" w:rsidRDefault="009C1D80" w:rsidP="009C1D80"/>
    <w:p w:rsidR="009C1D80" w:rsidRPr="00CF6693" w:rsidRDefault="00CF6693" w:rsidP="009C1D80">
      <w:r w:rsidRPr="00CF6693">
        <w:t>Give effect to the misdescribed amendment as intended</w:t>
      </w:r>
    </w:p>
    <w:p w:rsidR="009C1D80" w:rsidRPr="00CF6693" w:rsidRDefault="009C1D80" w:rsidP="009C1D80"/>
    <w:p w:rsidR="009C1D80" w:rsidRPr="00CF6693" w:rsidRDefault="009C1D80" w:rsidP="009C0984">
      <w:pPr>
        <w:keepNext/>
        <w:rPr>
          <w:b/>
        </w:rPr>
      </w:pPr>
      <w:r w:rsidRPr="00CF6693">
        <w:rPr>
          <w:b/>
        </w:rPr>
        <w:t>Details of editorial change</w:t>
      </w:r>
    </w:p>
    <w:p w:rsidR="009C1D80" w:rsidRPr="00CF6693" w:rsidRDefault="009C1D80" w:rsidP="009C0984">
      <w:pPr>
        <w:keepNext/>
        <w:rPr>
          <w:b/>
        </w:rPr>
      </w:pPr>
    </w:p>
    <w:p w:rsidR="00CF6693" w:rsidRPr="003217A4" w:rsidRDefault="00CF6693" w:rsidP="00CF6693">
      <w:r w:rsidRPr="00CF6693">
        <w:rPr>
          <w:szCs w:val="22"/>
        </w:rPr>
        <w:t xml:space="preserve">Schedule 8 item 25 of the </w:t>
      </w:r>
      <w:r w:rsidRPr="00CF6693">
        <w:rPr>
          <w:i/>
        </w:rPr>
        <w:t xml:space="preserve">Treasury Laws Amendment (Fair and Sustainable Superannuation) Act </w:t>
      </w:r>
      <w:r w:rsidRPr="003217A4">
        <w:rPr>
          <w:i/>
        </w:rPr>
        <w:t>2016</w:t>
      </w:r>
      <w:r w:rsidRPr="003217A4">
        <w:t xml:space="preserve"> instructs to omit the words “that are currently payable by complying superannuation funds” and substitute “that are currently </w:t>
      </w:r>
      <w:r w:rsidRPr="003217A4">
        <w:rPr>
          <w:position w:val="6"/>
          <w:sz w:val="16"/>
        </w:rPr>
        <w:t>*</w:t>
      </w:r>
      <w:r w:rsidRPr="003217A4">
        <w:t xml:space="preserve">RP superannuation income stream benefits of </w:t>
      </w:r>
      <w:r w:rsidRPr="003217A4">
        <w:rPr>
          <w:position w:val="6"/>
          <w:sz w:val="16"/>
        </w:rPr>
        <w:t>*</w:t>
      </w:r>
      <w:r w:rsidRPr="003217A4">
        <w:t>complying superannuation funds” in paragraph</w:t>
      </w:r>
      <w:r>
        <w:t> </w:t>
      </w:r>
      <w:r w:rsidRPr="003217A4">
        <w:t>320</w:t>
      </w:r>
      <w:r>
        <w:noBreakHyphen/>
      </w:r>
      <w:r w:rsidRPr="003217A4">
        <w:t>247(2)(a).</w:t>
      </w:r>
    </w:p>
    <w:p w:rsidR="00CF6693" w:rsidRPr="003217A4" w:rsidRDefault="00CF6693" w:rsidP="00CF6693"/>
    <w:p w:rsidR="00CF6693" w:rsidRPr="003217A4" w:rsidRDefault="00CF6693" w:rsidP="00CF6693">
      <w:pPr>
        <w:rPr>
          <w:szCs w:val="22"/>
        </w:rPr>
      </w:pPr>
      <w:r w:rsidRPr="003217A4">
        <w:t>The words “that are currently payable by complying superannuation funds” do not appear in paragraph</w:t>
      </w:r>
      <w:r>
        <w:t> </w:t>
      </w:r>
      <w:r w:rsidRPr="003217A4">
        <w:t>320</w:t>
      </w:r>
      <w:r>
        <w:noBreakHyphen/>
      </w:r>
      <w:r w:rsidRPr="003217A4">
        <w:t xml:space="preserve">247(2)(a). However, the words “that are currently payable by </w:t>
      </w:r>
      <w:r w:rsidRPr="003217A4">
        <w:rPr>
          <w:position w:val="6"/>
          <w:sz w:val="16"/>
        </w:rPr>
        <w:t>*</w:t>
      </w:r>
      <w:r w:rsidRPr="003217A4">
        <w:t>complying superannuation funds” do appear.</w:t>
      </w:r>
    </w:p>
    <w:p w:rsidR="00CF6693" w:rsidRPr="003217A4" w:rsidRDefault="00CF6693" w:rsidP="00CF6693">
      <w:pPr>
        <w:rPr>
          <w:szCs w:val="22"/>
        </w:rPr>
      </w:pPr>
    </w:p>
    <w:p w:rsidR="00780065" w:rsidRDefault="00CF6693" w:rsidP="00780065">
      <w:r w:rsidRPr="003217A4">
        <w:rPr>
          <w:szCs w:val="22"/>
        </w:rPr>
        <w:t xml:space="preserve">This compilation was editorially changed to </w:t>
      </w:r>
      <w:r w:rsidRPr="003217A4">
        <w:t xml:space="preserve">omit the words “that are currently payable by </w:t>
      </w:r>
      <w:r w:rsidRPr="003217A4">
        <w:rPr>
          <w:position w:val="6"/>
          <w:sz w:val="16"/>
        </w:rPr>
        <w:t>*</w:t>
      </w:r>
      <w:r w:rsidRPr="003217A4">
        <w:t xml:space="preserve">complying superannuation funds” and substitute “that are currently </w:t>
      </w:r>
      <w:r w:rsidRPr="003217A4">
        <w:rPr>
          <w:position w:val="6"/>
          <w:sz w:val="16"/>
        </w:rPr>
        <w:t>*</w:t>
      </w:r>
      <w:r w:rsidRPr="003217A4">
        <w:t xml:space="preserve">RP superannuation income stream benefits of </w:t>
      </w:r>
      <w:r w:rsidRPr="003217A4">
        <w:rPr>
          <w:position w:val="6"/>
          <w:sz w:val="16"/>
        </w:rPr>
        <w:t>*</w:t>
      </w:r>
      <w:r w:rsidRPr="003217A4">
        <w:t>complying superannuation funds” and give effect to the misdescribed amendme</w:t>
      </w:r>
      <w:r w:rsidRPr="00025B66">
        <w:t>nt as intended.</w:t>
      </w:r>
    </w:p>
    <w:p w:rsidR="007A187E" w:rsidRDefault="007A187E" w:rsidP="00137048">
      <w:pPr>
        <w:pStyle w:val="Head2"/>
      </w:pPr>
      <w:r w:rsidRPr="00D96C45">
        <w:t>Social Security Act 1991</w:t>
      </w:r>
      <w:r>
        <w:t>, Compilation No. 152, Registration Date: 3 January 2017</w:t>
      </w:r>
    </w:p>
    <w:p w:rsidR="007A187E" w:rsidRPr="00F2598C" w:rsidRDefault="007A187E" w:rsidP="00137048">
      <w:pPr>
        <w:keepNext/>
      </w:pPr>
    </w:p>
    <w:p w:rsidR="007A187E" w:rsidRPr="004549F1" w:rsidRDefault="007A187E" w:rsidP="007A187E">
      <w:pPr>
        <w:rPr>
          <w:b/>
          <w:sz w:val="24"/>
          <w:szCs w:val="24"/>
        </w:rPr>
      </w:pPr>
      <w:r>
        <w:rPr>
          <w:b/>
          <w:sz w:val="24"/>
          <w:szCs w:val="24"/>
        </w:rPr>
        <w:t>Paragraphs 1067L-D23(c) and (d)</w:t>
      </w:r>
    </w:p>
    <w:p w:rsidR="007A187E" w:rsidRPr="004549F1" w:rsidRDefault="007A187E" w:rsidP="007A187E">
      <w:pPr>
        <w:rPr>
          <w:b/>
        </w:rPr>
      </w:pPr>
    </w:p>
    <w:p w:rsidR="007A187E" w:rsidRPr="004549F1" w:rsidRDefault="007A187E" w:rsidP="007A187E">
      <w:pPr>
        <w:rPr>
          <w:b/>
        </w:rPr>
      </w:pPr>
      <w:r w:rsidRPr="004549F1">
        <w:rPr>
          <w:b/>
        </w:rPr>
        <w:t>Kind of editorial change</w:t>
      </w:r>
    </w:p>
    <w:p w:rsidR="007A187E" w:rsidRPr="004549F1" w:rsidRDefault="007A187E" w:rsidP="007A187E"/>
    <w:p w:rsidR="007A187E" w:rsidRPr="004549F1" w:rsidRDefault="007A187E" w:rsidP="007A187E">
      <w:pPr>
        <w:rPr>
          <w:b/>
        </w:rPr>
      </w:pPr>
      <w:r>
        <w:t xml:space="preserve">Change to spelling </w:t>
      </w:r>
    </w:p>
    <w:p w:rsidR="007A187E" w:rsidRPr="004549F1" w:rsidRDefault="007A187E" w:rsidP="007A187E"/>
    <w:p w:rsidR="007A187E" w:rsidRPr="004549F1" w:rsidRDefault="007A187E" w:rsidP="000B0B1A">
      <w:pPr>
        <w:keepNext/>
        <w:rPr>
          <w:b/>
        </w:rPr>
      </w:pPr>
      <w:r w:rsidRPr="004549F1">
        <w:rPr>
          <w:b/>
        </w:rPr>
        <w:t>Details of editorial change</w:t>
      </w:r>
    </w:p>
    <w:p w:rsidR="007A187E" w:rsidRPr="004549F1" w:rsidRDefault="007A187E" w:rsidP="000B0B1A">
      <w:pPr>
        <w:keepNext/>
        <w:rPr>
          <w:b/>
        </w:rPr>
      </w:pPr>
    </w:p>
    <w:p w:rsidR="007A187E" w:rsidRDefault="007A187E" w:rsidP="000B0B1A">
      <w:pPr>
        <w:keepNext/>
      </w:pPr>
      <w:r>
        <w:t>Paragraphs 1067L-D23(c) and (d) each refer to “predicability” rather than “predictability”.</w:t>
      </w:r>
    </w:p>
    <w:p w:rsidR="007A187E" w:rsidRDefault="007A187E" w:rsidP="000B0B1A">
      <w:pPr>
        <w:keepNext/>
      </w:pPr>
    </w:p>
    <w:p w:rsidR="007A187E" w:rsidRPr="004549F1" w:rsidRDefault="007A187E" w:rsidP="007A187E">
      <w:r>
        <w:t>This compilation was editorially changed to correct the spelling to “predictability”.</w:t>
      </w:r>
    </w:p>
    <w:sectPr w:rsidR="007A187E" w:rsidRPr="004549F1" w:rsidSect="00675799">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94" w:rsidRDefault="00257994" w:rsidP="008E17F3">
      <w:pPr>
        <w:spacing w:line="240" w:lineRule="auto"/>
      </w:pPr>
      <w:r>
        <w:separator/>
      </w:r>
    </w:p>
  </w:endnote>
  <w:endnote w:type="continuationSeparator" w:id="0">
    <w:p w:rsidR="00257994" w:rsidRDefault="00257994"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4" w:rsidRDefault="00257994"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57994" w:rsidRDefault="00257994" w:rsidP="008E17F3">
    <w:pPr>
      <w:pStyle w:val="Footer"/>
      <w:ind w:right="360"/>
    </w:pPr>
  </w:p>
  <w:p w:rsidR="00257994" w:rsidRDefault="002579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4" w:rsidRDefault="00257994" w:rsidP="008E17F3">
    <w:pPr>
      <w:pStyle w:val="Footer"/>
      <w:tabs>
        <w:tab w:val="clear" w:pos="4153"/>
        <w:tab w:val="clear" w:pos="8306"/>
        <w:tab w:val="left" w:pos="7680"/>
      </w:tabs>
      <w:ind w:right="27"/>
      <w:rPr>
        <w:sz w:val="16"/>
      </w:rPr>
    </w:pPr>
    <w:r>
      <w:rPr>
        <w:sz w:val="16"/>
      </w:rPr>
      <w:t>[</w:t>
    </w:r>
    <w:r w:rsidR="00413BDB">
      <w:rPr>
        <w:noProof/>
        <w:sz w:val="16"/>
        <w:szCs w:val="16"/>
      </w:rPr>
      <w:t>S17LN249.v11.docx</w:t>
    </w:r>
    <w:r w:rsidRPr="00766393">
      <w:rPr>
        <w:sz w:val="16"/>
        <w:szCs w:val="16"/>
      </w:rPr>
      <w:t>] [</w:t>
    </w:r>
    <w:r w:rsidR="00413BDB">
      <w:rPr>
        <w:noProof/>
        <w:sz w:val="16"/>
        <w:szCs w:val="16"/>
      </w:rPr>
      <w:t>5-Jul-17</w:t>
    </w:r>
    <w:r>
      <w:rPr>
        <w:sz w:val="16"/>
      </w:rPr>
      <w:t>] [</w:t>
    </w:r>
    <w:r w:rsidR="00413BDB">
      <w:rPr>
        <w:noProof/>
        <w:sz w:val="16"/>
      </w:rPr>
      <w:t>11:47 AM</w:t>
    </w:r>
    <w:r>
      <w:rPr>
        <w:sz w:val="16"/>
      </w:rPr>
      <w:t>]</w:t>
    </w:r>
    <w:r>
      <w:rPr>
        <w:sz w:val="16"/>
      </w:rPr>
      <w:tab/>
    </w:r>
    <w:r>
      <w:rPr>
        <w:sz w:val="16"/>
      </w:rPr>
      <w:tab/>
    </w:r>
    <w:r>
      <w:t xml:space="preserve">Page  </w:t>
    </w:r>
    <w:r>
      <w:fldChar w:fldCharType="begin"/>
    </w:r>
    <w:r>
      <w:instrText xml:space="preserve"> PAGE  \* MERGEFORMAT </w:instrText>
    </w:r>
    <w:r>
      <w:fldChar w:fldCharType="separate"/>
    </w:r>
    <w:r w:rsidR="00546361">
      <w:rPr>
        <w:noProof/>
      </w:rPr>
      <w:t>16</w:t>
    </w:r>
    <w:r>
      <w:rPr>
        <w:noProof/>
      </w:rPr>
      <w:fldChar w:fldCharType="end"/>
    </w:r>
  </w:p>
  <w:p w:rsidR="00257994" w:rsidRDefault="002579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4" w:rsidRDefault="00257994" w:rsidP="00675799">
    <w:pPr>
      <w:rPr>
        <w:sz w:val="16"/>
        <w:szCs w:val="16"/>
      </w:rPr>
    </w:pPr>
    <w:r>
      <w:rPr>
        <w:sz w:val="16"/>
        <w:szCs w:val="16"/>
      </w:rPr>
      <w:t>________________________________________________________________________________________________________________</w:t>
    </w:r>
  </w:p>
  <w:p w:rsidR="00257994" w:rsidRDefault="00257994" w:rsidP="00675799">
    <w:pPr>
      <w:ind w:right="27"/>
      <w:jc w:val="center"/>
      <w:rPr>
        <w:sz w:val="20"/>
      </w:rPr>
    </w:pPr>
    <w:r>
      <w:rPr>
        <w:sz w:val="20"/>
      </w:rPr>
      <w:t>28 Sydney Avenue  Forrest  ACT  2603</w:t>
    </w:r>
  </w:p>
  <w:p w:rsidR="00257994" w:rsidRDefault="00257994" w:rsidP="00675799">
    <w:pPr>
      <w:ind w:right="27"/>
      <w:jc w:val="center"/>
      <w:rPr>
        <w:sz w:val="20"/>
      </w:rPr>
    </w:pPr>
    <w:r>
      <w:rPr>
        <w:sz w:val="20"/>
      </w:rPr>
      <w:t>Locked Bag 30 Kingston ACT 2604 • Telephone (02) 6120 1400 • Fax (02) 6120 1403 • ABN 41 425 630 817</w:t>
    </w:r>
  </w:p>
  <w:p w:rsidR="00257994" w:rsidRDefault="00257994" w:rsidP="00675799">
    <w:pPr>
      <w:ind w:right="27"/>
      <w:jc w:val="center"/>
      <w:rPr>
        <w:sz w:val="20"/>
      </w:rPr>
    </w:pPr>
    <w:r>
      <w:rPr>
        <w:sz w:val="20"/>
      </w:rPr>
      <w:t>www.opc.gov.au</w:t>
    </w:r>
  </w:p>
  <w:p w:rsidR="00257994" w:rsidRDefault="00413BDB" w:rsidP="00675799">
    <w:pPr>
      <w:ind w:right="27"/>
      <w:rPr>
        <w:sz w:val="16"/>
        <w:szCs w:val="16"/>
      </w:rPr>
    </w:pPr>
    <w:r>
      <w:rPr>
        <w:noProof/>
        <w:sz w:val="16"/>
        <w:szCs w:val="16"/>
      </w:rPr>
      <w:t>S17LN249.v11.docx</w:t>
    </w:r>
  </w:p>
  <w:p w:rsidR="00257994" w:rsidRDefault="0025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94" w:rsidRDefault="00257994" w:rsidP="008E17F3">
      <w:pPr>
        <w:spacing w:line="240" w:lineRule="auto"/>
      </w:pPr>
      <w:r>
        <w:separator/>
      </w:r>
    </w:p>
  </w:footnote>
  <w:footnote w:type="continuationSeparator" w:id="0">
    <w:p w:rsidR="00257994" w:rsidRDefault="00257994"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DB" w:rsidRDefault="00413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DB" w:rsidRDefault="00413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94" w:rsidRDefault="00257994" w:rsidP="00675799">
    <w:pPr>
      <w:ind w:right="27"/>
      <w:rPr>
        <w:sz w:val="18"/>
        <w:szCs w:val="18"/>
      </w:rPr>
    </w:pPr>
    <w:r>
      <w:rPr>
        <w:noProof/>
        <w:sz w:val="20"/>
        <w:lang w:eastAsia="en-AU"/>
      </w:rPr>
      <w:drawing>
        <wp:inline distT="0" distB="0" distL="0" distR="0" wp14:anchorId="35A9AD29" wp14:editId="4964BDA9">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257994" w:rsidRDefault="00257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6F82C"/>
    <w:lvl w:ilvl="0">
      <w:start w:val="1"/>
      <w:numFmt w:val="decimal"/>
      <w:lvlText w:val="%1."/>
      <w:lvlJc w:val="left"/>
      <w:pPr>
        <w:tabs>
          <w:tab w:val="num" w:pos="1492"/>
        </w:tabs>
        <w:ind w:left="1492" w:hanging="360"/>
      </w:pPr>
    </w:lvl>
  </w:abstractNum>
  <w:abstractNum w:abstractNumId="1">
    <w:nsid w:val="FFFFFF7D"/>
    <w:multiLevelType w:val="singleLevel"/>
    <w:tmpl w:val="F260F678"/>
    <w:lvl w:ilvl="0">
      <w:start w:val="1"/>
      <w:numFmt w:val="decimal"/>
      <w:lvlText w:val="%1."/>
      <w:lvlJc w:val="left"/>
      <w:pPr>
        <w:tabs>
          <w:tab w:val="num" w:pos="1209"/>
        </w:tabs>
        <w:ind w:left="1209" w:hanging="360"/>
      </w:pPr>
    </w:lvl>
  </w:abstractNum>
  <w:abstractNum w:abstractNumId="2">
    <w:nsid w:val="FFFFFF7E"/>
    <w:multiLevelType w:val="singleLevel"/>
    <w:tmpl w:val="08E0D4EC"/>
    <w:lvl w:ilvl="0">
      <w:start w:val="1"/>
      <w:numFmt w:val="decimal"/>
      <w:lvlText w:val="%1."/>
      <w:lvlJc w:val="left"/>
      <w:pPr>
        <w:tabs>
          <w:tab w:val="num" w:pos="926"/>
        </w:tabs>
        <w:ind w:left="926" w:hanging="360"/>
      </w:pPr>
    </w:lvl>
  </w:abstractNum>
  <w:abstractNum w:abstractNumId="3">
    <w:nsid w:val="FFFFFF7F"/>
    <w:multiLevelType w:val="singleLevel"/>
    <w:tmpl w:val="F8EE8E20"/>
    <w:lvl w:ilvl="0">
      <w:start w:val="1"/>
      <w:numFmt w:val="decimal"/>
      <w:lvlText w:val="%1."/>
      <w:lvlJc w:val="left"/>
      <w:pPr>
        <w:tabs>
          <w:tab w:val="num" w:pos="643"/>
        </w:tabs>
        <w:ind w:left="643" w:hanging="360"/>
      </w:pPr>
    </w:lvl>
  </w:abstractNum>
  <w:abstractNum w:abstractNumId="4">
    <w:nsid w:val="FFFFFF80"/>
    <w:multiLevelType w:val="singleLevel"/>
    <w:tmpl w:val="057CB3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80D5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00C6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FC1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024704"/>
    <w:lvl w:ilvl="0">
      <w:start w:val="1"/>
      <w:numFmt w:val="decimal"/>
      <w:lvlText w:val="%1."/>
      <w:lvlJc w:val="left"/>
      <w:pPr>
        <w:tabs>
          <w:tab w:val="num" w:pos="360"/>
        </w:tabs>
        <w:ind w:left="360" w:hanging="360"/>
      </w:pPr>
    </w:lvl>
  </w:abstractNum>
  <w:abstractNum w:abstractNumId="9">
    <w:nsid w:val="FFFFFF89"/>
    <w:multiLevelType w:val="singleLevel"/>
    <w:tmpl w:val="BA6E8B76"/>
    <w:lvl w:ilvl="0">
      <w:start w:val="1"/>
      <w:numFmt w:val="bullet"/>
      <w:lvlText w:val=""/>
      <w:lvlJc w:val="left"/>
      <w:pPr>
        <w:tabs>
          <w:tab w:val="num" w:pos="360"/>
        </w:tabs>
        <w:ind w:left="360" w:hanging="360"/>
      </w:pPr>
      <w:rPr>
        <w:rFonts w:ascii="Symbol" w:hAnsi="Symbol" w:hint="default"/>
      </w:rPr>
    </w:lvl>
  </w:abstractNum>
  <w:abstractNum w:abstractNumId="1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EA"/>
    <w:rsid w:val="00000BA8"/>
    <w:rsid w:val="000136AF"/>
    <w:rsid w:val="00022B7E"/>
    <w:rsid w:val="000237EE"/>
    <w:rsid w:val="00025B66"/>
    <w:rsid w:val="00036B0B"/>
    <w:rsid w:val="00056743"/>
    <w:rsid w:val="000614BF"/>
    <w:rsid w:val="000667A8"/>
    <w:rsid w:val="000802A8"/>
    <w:rsid w:val="00092318"/>
    <w:rsid w:val="000A04B3"/>
    <w:rsid w:val="000B0B1A"/>
    <w:rsid w:val="000B32DE"/>
    <w:rsid w:val="000C120F"/>
    <w:rsid w:val="000C3CFA"/>
    <w:rsid w:val="000C604C"/>
    <w:rsid w:val="000C6B82"/>
    <w:rsid w:val="000D05EF"/>
    <w:rsid w:val="000D3B76"/>
    <w:rsid w:val="000D5613"/>
    <w:rsid w:val="000E5635"/>
    <w:rsid w:val="000F0BD5"/>
    <w:rsid w:val="0010745C"/>
    <w:rsid w:val="00107B40"/>
    <w:rsid w:val="00112D0A"/>
    <w:rsid w:val="00137048"/>
    <w:rsid w:val="00140679"/>
    <w:rsid w:val="00140D81"/>
    <w:rsid w:val="00166C2F"/>
    <w:rsid w:val="00174846"/>
    <w:rsid w:val="00186AF6"/>
    <w:rsid w:val="001939E1"/>
    <w:rsid w:val="00195382"/>
    <w:rsid w:val="001A2CB1"/>
    <w:rsid w:val="001A5ED7"/>
    <w:rsid w:val="001A7706"/>
    <w:rsid w:val="001C1852"/>
    <w:rsid w:val="001C30FA"/>
    <w:rsid w:val="001C69C4"/>
    <w:rsid w:val="001E3590"/>
    <w:rsid w:val="001E7407"/>
    <w:rsid w:val="002017E3"/>
    <w:rsid w:val="00222541"/>
    <w:rsid w:val="002241DE"/>
    <w:rsid w:val="00253D1B"/>
    <w:rsid w:val="0025624A"/>
    <w:rsid w:val="00257994"/>
    <w:rsid w:val="002634B4"/>
    <w:rsid w:val="00271814"/>
    <w:rsid w:val="0029118F"/>
    <w:rsid w:val="00291C77"/>
    <w:rsid w:val="00295FBA"/>
    <w:rsid w:val="002970D7"/>
    <w:rsid w:val="00297ECB"/>
    <w:rsid w:val="002C55C3"/>
    <w:rsid w:val="002D043A"/>
    <w:rsid w:val="002D6A8E"/>
    <w:rsid w:val="002E0E70"/>
    <w:rsid w:val="002E33F6"/>
    <w:rsid w:val="0030712F"/>
    <w:rsid w:val="00311448"/>
    <w:rsid w:val="00322D37"/>
    <w:rsid w:val="00333EB4"/>
    <w:rsid w:val="0033674B"/>
    <w:rsid w:val="003459E1"/>
    <w:rsid w:val="00352B0F"/>
    <w:rsid w:val="003554DE"/>
    <w:rsid w:val="00360FB0"/>
    <w:rsid w:val="003658DA"/>
    <w:rsid w:val="00367847"/>
    <w:rsid w:val="00381999"/>
    <w:rsid w:val="00382F96"/>
    <w:rsid w:val="00387B40"/>
    <w:rsid w:val="003A1E6E"/>
    <w:rsid w:val="003B40D6"/>
    <w:rsid w:val="003B5735"/>
    <w:rsid w:val="003B5738"/>
    <w:rsid w:val="003D0BFE"/>
    <w:rsid w:val="003D5700"/>
    <w:rsid w:val="003D6F8A"/>
    <w:rsid w:val="003D7E16"/>
    <w:rsid w:val="003E4160"/>
    <w:rsid w:val="003F778D"/>
    <w:rsid w:val="004116CD"/>
    <w:rsid w:val="00411C39"/>
    <w:rsid w:val="00413BDB"/>
    <w:rsid w:val="004174B2"/>
    <w:rsid w:val="00424CA9"/>
    <w:rsid w:val="00424F86"/>
    <w:rsid w:val="00440A9F"/>
    <w:rsid w:val="00441095"/>
    <w:rsid w:val="0044291A"/>
    <w:rsid w:val="00446B9A"/>
    <w:rsid w:val="004501A5"/>
    <w:rsid w:val="00450A86"/>
    <w:rsid w:val="004560FB"/>
    <w:rsid w:val="00456A4E"/>
    <w:rsid w:val="00456E7F"/>
    <w:rsid w:val="004653F8"/>
    <w:rsid w:val="004671F4"/>
    <w:rsid w:val="00474B43"/>
    <w:rsid w:val="00480D7D"/>
    <w:rsid w:val="004858FF"/>
    <w:rsid w:val="00491C75"/>
    <w:rsid w:val="00496F97"/>
    <w:rsid w:val="00497A7F"/>
    <w:rsid w:val="004B467A"/>
    <w:rsid w:val="004D0C34"/>
    <w:rsid w:val="004F1B63"/>
    <w:rsid w:val="004F72B1"/>
    <w:rsid w:val="00500A5C"/>
    <w:rsid w:val="005107A9"/>
    <w:rsid w:val="005138D5"/>
    <w:rsid w:val="00516B8D"/>
    <w:rsid w:val="005205EC"/>
    <w:rsid w:val="00520A48"/>
    <w:rsid w:val="00521150"/>
    <w:rsid w:val="005327A0"/>
    <w:rsid w:val="00537FBC"/>
    <w:rsid w:val="0054153D"/>
    <w:rsid w:val="00542DA3"/>
    <w:rsid w:val="005452A1"/>
    <w:rsid w:val="00546361"/>
    <w:rsid w:val="00546AE9"/>
    <w:rsid w:val="00555E10"/>
    <w:rsid w:val="00557A7D"/>
    <w:rsid w:val="005658E8"/>
    <w:rsid w:val="00575B46"/>
    <w:rsid w:val="005826B9"/>
    <w:rsid w:val="00584811"/>
    <w:rsid w:val="00594161"/>
    <w:rsid w:val="00594749"/>
    <w:rsid w:val="005A51FC"/>
    <w:rsid w:val="005A7F32"/>
    <w:rsid w:val="005B28C6"/>
    <w:rsid w:val="005D0427"/>
    <w:rsid w:val="00600219"/>
    <w:rsid w:val="006049B9"/>
    <w:rsid w:val="006067A2"/>
    <w:rsid w:val="00620296"/>
    <w:rsid w:val="006207A3"/>
    <w:rsid w:val="006279B8"/>
    <w:rsid w:val="00643AD1"/>
    <w:rsid w:val="00643DCD"/>
    <w:rsid w:val="00672060"/>
    <w:rsid w:val="00675799"/>
    <w:rsid w:val="00677CC2"/>
    <w:rsid w:val="00680F77"/>
    <w:rsid w:val="0069207B"/>
    <w:rsid w:val="00694AC5"/>
    <w:rsid w:val="006B074C"/>
    <w:rsid w:val="006B42A2"/>
    <w:rsid w:val="006C2253"/>
    <w:rsid w:val="006C7F8C"/>
    <w:rsid w:val="006D77BA"/>
    <w:rsid w:val="006E2E9F"/>
    <w:rsid w:val="006E45B4"/>
    <w:rsid w:val="006E4E94"/>
    <w:rsid w:val="006E5BEE"/>
    <w:rsid w:val="00704A73"/>
    <w:rsid w:val="00705897"/>
    <w:rsid w:val="0072187F"/>
    <w:rsid w:val="00725909"/>
    <w:rsid w:val="00727038"/>
    <w:rsid w:val="007276BC"/>
    <w:rsid w:val="00731E00"/>
    <w:rsid w:val="00733990"/>
    <w:rsid w:val="00734BEC"/>
    <w:rsid w:val="007376F8"/>
    <w:rsid w:val="007404BE"/>
    <w:rsid w:val="00746326"/>
    <w:rsid w:val="0075299A"/>
    <w:rsid w:val="00765BDC"/>
    <w:rsid w:val="00766393"/>
    <w:rsid w:val="007715C9"/>
    <w:rsid w:val="00774EDD"/>
    <w:rsid w:val="00775577"/>
    <w:rsid w:val="007757EC"/>
    <w:rsid w:val="00780065"/>
    <w:rsid w:val="007871AF"/>
    <w:rsid w:val="007A187E"/>
    <w:rsid w:val="007A6430"/>
    <w:rsid w:val="007B7102"/>
    <w:rsid w:val="007D3D3F"/>
    <w:rsid w:val="007E0215"/>
    <w:rsid w:val="007E0AF5"/>
    <w:rsid w:val="007F4ABB"/>
    <w:rsid w:val="007F7B56"/>
    <w:rsid w:val="008006B2"/>
    <w:rsid w:val="008116DD"/>
    <w:rsid w:val="0081570B"/>
    <w:rsid w:val="0082723C"/>
    <w:rsid w:val="00830C18"/>
    <w:rsid w:val="00835092"/>
    <w:rsid w:val="00835A5F"/>
    <w:rsid w:val="00836417"/>
    <w:rsid w:val="008379F5"/>
    <w:rsid w:val="00840C53"/>
    <w:rsid w:val="0084636A"/>
    <w:rsid w:val="00851929"/>
    <w:rsid w:val="0085557A"/>
    <w:rsid w:val="00856A31"/>
    <w:rsid w:val="00863133"/>
    <w:rsid w:val="008754D0"/>
    <w:rsid w:val="00886C58"/>
    <w:rsid w:val="008B084D"/>
    <w:rsid w:val="008E17F3"/>
    <w:rsid w:val="008E3B8C"/>
    <w:rsid w:val="008E6320"/>
    <w:rsid w:val="00901CC6"/>
    <w:rsid w:val="0094622F"/>
    <w:rsid w:val="00966D13"/>
    <w:rsid w:val="00975932"/>
    <w:rsid w:val="0098638B"/>
    <w:rsid w:val="00997061"/>
    <w:rsid w:val="009A30A7"/>
    <w:rsid w:val="009A7615"/>
    <w:rsid w:val="009B1C9C"/>
    <w:rsid w:val="009C0984"/>
    <w:rsid w:val="009C1D80"/>
    <w:rsid w:val="009C4D74"/>
    <w:rsid w:val="009D4938"/>
    <w:rsid w:val="009E1C1E"/>
    <w:rsid w:val="009F33EA"/>
    <w:rsid w:val="00A00A15"/>
    <w:rsid w:val="00A13BC4"/>
    <w:rsid w:val="00A1536A"/>
    <w:rsid w:val="00A15506"/>
    <w:rsid w:val="00A20653"/>
    <w:rsid w:val="00A21735"/>
    <w:rsid w:val="00A231E2"/>
    <w:rsid w:val="00A2347A"/>
    <w:rsid w:val="00A278B7"/>
    <w:rsid w:val="00A308C2"/>
    <w:rsid w:val="00A33B5E"/>
    <w:rsid w:val="00A464C5"/>
    <w:rsid w:val="00A63551"/>
    <w:rsid w:val="00A64912"/>
    <w:rsid w:val="00A67F12"/>
    <w:rsid w:val="00A70A74"/>
    <w:rsid w:val="00A73E12"/>
    <w:rsid w:val="00A90E8D"/>
    <w:rsid w:val="00A919BC"/>
    <w:rsid w:val="00A91B5C"/>
    <w:rsid w:val="00AA49CC"/>
    <w:rsid w:val="00AD5641"/>
    <w:rsid w:val="00AD5786"/>
    <w:rsid w:val="00AF402C"/>
    <w:rsid w:val="00B114A3"/>
    <w:rsid w:val="00B1642E"/>
    <w:rsid w:val="00B216D1"/>
    <w:rsid w:val="00B25C49"/>
    <w:rsid w:val="00B27180"/>
    <w:rsid w:val="00B33B3C"/>
    <w:rsid w:val="00B4247D"/>
    <w:rsid w:val="00B43587"/>
    <w:rsid w:val="00B46A9D"/>
    <w:rsid w:val="00B567C1"/>
    <w:rsid w:val="00B5713E"/>
    <w:rsid w:val="00B65977"/>
    <w:rsid w:val="00B737EC"/>
    <w:rsid w:val="00B81553"/>
    <w:rsid w:val="00B82F13"/>
    <w:rsid w:val="00BC03F6"/>
    <w:rsid w:val="00BC4EF5"/>
    <w:rsid w:val="00BE0DEB"/>
    <w:rsid w:val="00BE719A"/>
    <w:rsid w:val="00BE720A"/>
    <w:rsid w:val="00BF7538"/>
    <w:rsid w:val="00C13DAD"/>
    <w:rsid w:val="00C154FF"/>
    <w:rsid w:val="00C2253E"/>
    <w:rsid w:val="00C42BF8"/>
    <w:rsid w:val="00C50043"/>
    <w:rsid w:val="00C61CDD"/>
    <w:rsid w:val="00C7573B"/>
    <w:rsid w:val="00C76F1B"/>
    <w:rsid w:val="00C83868"/>
    <w:rsid w:val="00C94257"/>
    <w:rsid w:val="00CB3D6B"/>
    <w:rsid w:val="00CB48D8"/>
    <w:rsid w:val="00CB6C40"/>
    <w:rsid w:val="00CC31A5"/>
    <w:rsid w:val="00CC757C"/>
    <w:rsid w:val="00CD3486"/>
    <w:rsid w:val="00CF0BB2"/>
    <w:rsid w:val="00CF6693"/>
    <w:rsid w:val="00D13441"/>
    <w:rsid w:val="00D25A6E"/>
    <w:rsid w:val="00D3143D"/>
    <w:rsid w:val="00D41CB3"/>
    <w:rsid w:val="00D43A57"/>
    <w:rsid w:val="00D5072E"/>
    <w:rsid w:val="00D50E40"/>
    <w:rsid w:val="00D70DFB"/>
    <w:rsid w:val="00D766DF"/>
    <w:rsid w:val="00D766EF"/>
    <w:rsid w:val="00D90521"/>
    <w:rsid w:val="00D95C3E"/>
    <w:rsid w:val="00DB3CFE"/>
    <w:rsid w:val="00DB41B5"/>
    <w:rsid w:val="00DD5C9D"/>
    <w:rsid w:val="00DD7EB2"/>
    <w:rsid w:val="00DE048B"/>
    <w:rsid w:val="00DE7073"/>
    <w:rsid w:val="00E06606"/>
    <w:rsid w:val="00E11362"/>
    <w:rsid w:val="00E331C5"/>
    <w:rsid w:val="00E64E89"/>
    <w:rsid w:val="00E71549"/>
    <w:rsid w:val="00E74A83"/>
    <w:rsid w:val="00E74DC7"/>
    <w:rsid w:val="00EC20A9"/>
    <w:rsid w:val="00EC7C28"/>
    <w:rsid w:val="00ED0C49"/>
    <w:rsid w:val="00ED4F6F"/>
    <w:rsid w:val="00EE182A"/>
    <w:rsid w:val="00EF1300"/>
    <w:rsid w:val="00EF2E3A"/>
    <w:rsid w:val="00F037C6"/>
    <w:rsid w:val="00F04811"/>
    <w:rsid w:val="00F078DC"/>
    <w:rsid w:val="00F07FFB"/>
    <w:rsid w:val="00F146F1"/>
    <w:rsid w:val="00F2318F"/>
    <w:rsid w:val="00F23E5F"/>
    <w:rsid w:val="00F24966"/>
    <w:rsid w:val="00F31A20"/>
    <w:rsid w:val="00F36748"/>
    <w:rsid w:val="00F37E54"/>
    <w:rsid w:val="00F43BCE"/>
    <w:rsid w:val="00F47707"/>
    <w:rsid w:val="00F51269"/>
    <w:rsid w:val="00F6068F"/>
    <w:rsid w:val="00F7096B"/>
    <w:rsid w:val="00F71E7D"/>
    <w:rsid w:val="00F956C8"/>
    <w:rsid w:val="00FA0194"/>
    <w:rsid w:val="00FA77A1"/>
    <w:rsid w:val="00FC465E"/>
    <w:rsid w:val="00FD456C"/>
    <w:rsid w:val="00FD4FFC"/>
    <w:rsid w:val="00FE495E"/>
    <w:rsid w:val="00FF2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iPriority w:val="99"/>
    <w:semiHidden/>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 w:type="paragraph" w:customStyle="1" w:styleId="I">
    <w:name w:val="I"/>
    <w:basedOn w:val="Normal"/>
    <w:rsid w:val="005A7F32"/>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257994"/>
    <w:pPr>
      <w:keepNext/>
      <w:spacing w:before="360" w:line="240" w:lineRule="auto"/>
      <w:ind w:left="964" w:hanging="964"/>
    </w:pPr>
    <w:rPr>
      <w:rFonts w:ascii="Arial" w:eastAsia="Times New Roman" w:hAnsi="Arial" w:cs="Times New Roman"/>
      <w:b/>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3" w:uiPriority="0"/>
    <w:lsdException w:name="List 4" w:uiPriority="0"/>
    <w:lsdException w:name="List 5" w:uiPriority="0"/>
    <w:lsdException w:name="List Bullet 3"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4">
    <w:name w:val="heading 4"/>
    <w:basedOn w:val="Normal"/>
    <w:next w:val="Normal"/>
    <w:link w:val="Heading4Char"/>
    <w:qFormat/>
    <w:rsid w:val="00643DC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semiHidden/>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paragraph" w:customStyle="1" w:styleId="enstatementheading">
    <w:name w:val="enstatementheading"/>
    <w:basedOn w:val="Normal"/>
    <w:rsid w:val="00F47707"/>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F47707"/>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F37E54"/>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F37E54"/>
    <w:rPr>
      <w:rFonts w:eastAsia="Times New Roman" w:cs="Times New Roman"/>
      <w:sz w:val="22"/>
      <w:lang w:eastAsia="en-AU"/>
    </w:rPr>
  </w:style>
  <w:style w:type="character" w:customStyle="1" w:styleId="paragraphChar">
    <w:name w:val="paragraph Char"/>
    <w:aliases w:val="a Char,Paragraph Char"/>
    <w:link w:val="paragraph"/>
    <w:rsid w:val="00FA77A1"/>
    <w:rPr>
      <w:rFonts w:eastAsia="Times New Roman" w:cs="Times New Roman"/>
      <w:sz w:val="22"/>
      <w:lang w:eastAsia="en-AU"/>
    </w:rPr>
  </w:style>
  <w:style w:type="character" w:customStyle="1" w:styleId="subsectionChar">
    <w:name w:val="subsection Char"/>
    <w:aliases w:val="ss Char,Subsection Char"/>
    <w:link w:val="subsection"/>
    <w:rsid w:val="00FA77A1"/>
    <w:rPr>
      <w:rFonts w:eastAsia="Times New Roman" w:cs="Times New Roman"/>
      <w:sz w:val="22"/>
      <w:lang w:eastAsia="en-AU"/>
    </w:rPr>
  </w:style>
  <w:style w:type="character" w:customStyle="1" w:styleId="Heading4Char">
    <w:name w:val="Heading 4 Char"/>
    <w:basedOn w:val="DefaultParagraphFont"/>
    <w:link w:val="Heading4"/>
    <w:rsid w:val="00643DCD"/>
    <w:rPr>
      <w:rFonts w:eastAsia="Times New Roman" w:cs="Times New Roman"/>
      <w:color w:val="FFFFFF"/>
      <w:sz w:val="24"/>
      <w:lang w:eastAsia="en-AU"/>
    </w:rPr>
  </w:style>
  <w:style w:type="paragraph" w:customStyle="1" w:styleId="ENotesHeading2">
    <w:name w:val="ENotesHeading 2"/>
    <w:aliases w:val="Enh2,ENh2"/>
    <w:basedOn w:val="Normal"/>
    <w:next w:val="Normal"/>
    <w:rsid w:val="003459E1"/>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D41CB3"/>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107B40"/>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107B40"/>
    <w:rPr>
      <w:rFonts w:eastAsiaTheme="minorEastAsia"/>
      <w:sz w:val="22"/>
      <w:lang w:eastAsia="en-AU"/>
    </w:rPr>
  </w:style>
  <w:style w:type="paragraph" w:styleId="ListNumber5">
    <w:name w:val="List Number 5"/>
    <w:basedOn w:val="Normal"/>
    <w:uiPriority w:val="99"/>
    <w:semiHidden/>
    <w:unhideWhenUsed/>
    <w:rsid w:val="00107B40"/>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5452A1"/>
    <w:rPr>
      <w:rFonts w:ascii="Courier New" w:hAnsi="Courier New" w:cs="Courier New"/>
      <w:sz w:val="20"/>
      <w:szCs w:val="20"/>
    </w:rPr>
  </w:style>
  <w:style w:type="paragraph" w:styleId="ListBullet3">
    <w:name w:val="List Bullet 3"/>
    <w:rsid w:val="00734BEC"/>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734BEC"/>
    <w:pPr>
      <w:spacing w:line="240" w:lineRule="auto"/>
      <w:ind w:left="220" w:hanging="220"/>
    </w:pPr>
  </w:style>
  <w:style w:type="paragraph" w:styleId="IndexHeading">
    <w:name w:val="index heading"/>
    <w:next w:val="Index1"/>
    <w:rsid w:val="00734BEC"/>
    <w:rPr>
      <w:rFonts w:ascii="Arial" w:eastAsia="Times New Roman" w:hAnsi="Arial" w:cs="Arial"/>
      <w:b/>
      <w:bCs/>
      <w:sz w:val="22"/>
      <w:szCs w:val="24"/>
      <w:lang w:eastAsia="en-AU"/>
    </w:rPr>
  </w:style>
  <w:style w:type="paragraph" w:styleId="EndnoteText">
    <w:name w:val="endnote text"/>
    <w:basedOn w:val="Normal"/>
    <w:link w:val="EndnoteTextChar"/>
    <w:rsid w:val="00411C39"/>
    <w:rPr>
      <w:sz w:val="20"/>
    </w:rPr>
  </w:style>
  <w:style w:type="character" w:customStyle="1" w:styleId="EndnoteTextChar">
    <w:name w:val="Endnote Text Char"/>
    <w:basedOn w:val="DefaultParagraphFont"/>
    <w:link w:val="EndnoteText"/>
    <w:rsid w:val="00411C39"/>
  </w:style>
  <w:style w:type="paragraph" w:customStyle="1" w:styleId="EnStatementHeading0">
    <w:name w:val="EnStatementHeading"/>
    <w:basedOn w:val="Normal"/>
    <w:rsid w:val="00411C39"/>
    <w:rPr>
      <w:rFonts w:eastAsia="Times New Roman" w:cs="Times New Roman"/>
      <w:b/>
      <w:lang w:eastAsia="en-AU"/>
    </w:rPr>
  </w:style>
  <w:style w:type="table" w:styleId="TableGrid">
    <w:name w:val="Table Grid"/>
    <w:basedOn w:val="TableNormal"/>
    <w:uiPriority w:val="59"/>
    <w:rsid w:val="00B16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B1642E"/>
    <w:pPr>
      <w:keepNext/>
    </w:pPr>
  </w:style>
  <w:style w:type="character" w:customStyle="1" w:styleId="SpecialihChar">
    <w:name w:val="Special ih Char"/>
    <w:basedOn w:val="DefaultParagraphFont"/>
    <w:link w:val="Specialih"/>
    <w:rsid w:val="00B1642E"/>
    <w:rPr>
      <w:rFonts w:ascii="Arial" w:eastAsia="Times New Roman" w:hAnsi="Arial" w:cs="Times New Roman"/>
      <w:b/>
      <w:kern w:val="28"/>
      <w:sz w:val="24"/>
      <w:lang w:eastAsia="en-AU"/>
    </w:rPr>
  </w:style>
  <w:style w:type="paragraph" w:customStyle="1" w:styleId="EnStatement">
    <w:name w:val="EnStatement"/>
    <w:basedOn w:val="Normal"/>
    <w:rsid w:val="00B1642E"/>
    <w:pPr>
      <w:numPr>
        <w:numId w:val="14"/>
      </w:numPr>
    </w:pPr>
    <w:rPr>
      <w:rFonts w:eastAsia="Times New Roman" w:cs="Times New Roman"/>
      <w:lang w:eastAsia="en-AU"/>
    </w:rPr>
  </w:style>
  <w:style w:type="paragraph" w:customStyle="1" w:styleId="Specialaat">
    <w:name w:val="Special aat"/>
    <w:basedOn w:val="ActHead9"/>
    <w:link w:val="SpecialaatChar"/>
    <w:rsid w:val="00B1642E"/>
    <w:pPr>
      <w:outlineLvl w:val="9"/>
    </w:pPr>
  </w:style>
  <w:style w:type="character" w:customStyle="1" w:styleId="SpecialaatChar">
    <w:name w:val="Special aat Char"/>
    <w:basedOn w:val="DefaultParagraphFont"/>
    <w:link w:val="Specialaat"/>
    <w:rsid w:val="00B1642E"/>
    <w:rPr>
      <w:rFonts w:eastAsia="Times New Roman" w:cs="Times New Roman"/>
      <w:b/>
      <w:i/>
      <w:kern w:val="28"/>
      <w:sz w:val="28"/>
      <w:lang w:eastAsia="en-AU"/>
    </w:rPr>
  </w:style>
  <w:style w:type="paragraph" w:styleId="Index4">
    <w:name w:val="index 4"/>
    <w:basedOn w:val="Normal"/>
    <w:next w:val="Normal"/>
    <w:autoRedefine/>
    <w:unhideWhenUsed/>
    <w:rsid w:val="00F36748"/>
    <w:pPr>
      <w:spacing w:line="240" w:lineRule="auto"/>
      <w:ind w:left="880" w:hanging="220"/>
    </w:pPr>
  </w:style>
  <w:style w:type="paragraph" w:styleId="List5">
    <w:name w:val="List 5"/>
    <w:basedOn w:val="Normal"/>
    <w:unhideWhenUsed/>
    <w:rsid w:val="001C30FA"/>
    <w:pPr>
      <w:ind w:left="1415" w:hanging="283"/>
      <w:contextualSpacing/>
    </w:pPr>
  </w:style>
  <w:style w:type="paragraph" w:customStyle="1" w:styleId="Default">
    <w:name w:val="Default"/>
    <w:rsid w:val="00A00A15"/>
    <w:pPr>
      <w:autoSpaceDE w:val="0"/>
      <w:autoSpaceDN w:val="0"/>
      <w:adjustRightInd w:val="0"/>
    </w:pPr>
    <w:rPr>
      <w:rFonts w:cs="Times New Roman"/>
      <w:color w:val="000000"/>
      <w:sz w:val="24"/>
      <w:szCs w:val="24"/>
    </w:rPr>
  </w:style>
  <w:style w:type="table" w:styleId="TableColumns5">
    <w:name w:val="Table Columns 5"/>
    <w:basedOn w:val="TableNormal"/>
    <w:semiHidden/>
    <w:rsid w:val="00555E10"/>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A308C2"/>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000BA8"/>
    <w:rPr>
      <w:rFonts w:eastAsia="Times New Roman" w:cs="Times New Roman"/>
      <w:b/>
      <w:kern w:val="28"/>
      <w:sz w:val="24"/>
      <w:lang w:eastAsia="en-AU"/>
    </w:rPr>
  </w:style>
  <w:style w:type="paragraph" w:styleId="List3">
    <w:name w:val="List 3"/>
    <w:basedOn w:val="Normal"/>
    <w:unhideWhenUsed/>
    <w:rsid w:val="00446B9A"/>
    <w:pPr>
      <w:ind w:left="849" w:hanging="283"/>
      <w:contextualSpacing/>
    </w:pPr>
  </w:style>
  <w:style w:type="paragraph" w:styleId="ListContinue4">
    <w:name w:val="List Continue 4"/>
    <w:basedOn w:val="Normal"/>
    <w:unhideWhenUsed/>
    <w:rsid w:val="00A15506"/>
    <w:pPr>
      <w:spacing w:after="120"/>
      <w:ind w:left="1132"/>
      <w:contextualSpacing/>
    </w:pPr>
  </w:style>
  <w:style w:type="paragraph" w:styleId="List4">
    <w:name w:val="List 4"/>
    <w:basedOn w:val="Normal"/>
    <w:unhideWhenUsed/>
    <w:rsid w:val="000802A8"/>
    <w:pPr>
      <w:ind w:left="1132" w:hanging="283"/>
      <w:contextualSpacing/>
    </w:pPr>
  </w:style>
  <w:style w:type="paragraph" w:styleId="Title">
    <w:name w:val="Title"/>
    <w:basedOn w:val="Normal"/>
    <w:link w:val="TitleChar"/>
    <w:qFormat/>
    <w:rsid w:val="00746326"/>
    <w:pPr>
      <w:spacing w:before="240" w:after="60"/>
    </w:pPr>
    <w:rPr>
      <w:rFonts w:ascii="Arial" w:hAnsi="Arial" w:cs="Arial"/>
      <w:b/>
      <w:bCs/>
      <w:sz w:val="40"/>
      <w:szCs w:val="40"/>
    </w:rPr>
  </w:style>
  <w:style w:type="character" w:customStyle="1" w:styleId="TitleChar">
    <w:name w:val="Title Char"/>
    <w:basedOn w:val="DefaultParagraphFont"/>
    <w:link w:val="Title"/>
    <w:rsid w:val="00746326"/>
    <w:rPr>
      <w:rFonts w:ascii="Arial" w:hAnsi="Arial" w:cs="Arial"/>
      <w:b/>
      <w:bCs/>
      <w:sz w:val="40"/>
      <w:szCs w:val="40"/>
    </w:rPr>
  </w:style>
  <w:style w:type="paragraph" w:customStyle="1" w:styleId="Speciali">
    <w:name w:val="Special i"/>
    <w:basedOn w:val="Item"/>
    <w:link w:val="SpecialiChar"/>
    <w:rsid w:val="00643AD1"/>
  </w:style>
  <w:style w:type="character" w:customStyle="1" w:styleId="SpecialiChar">
    <w:name w:val="Special i Char"/>
    <w:basedOn w:val="ItemChar"/>
    <w:link w:val="Speciali"/>
    <w:rsid w:val="00643AD1"/>
    <w:rPr>
      <w:rFonts w:eastAsia="Times New Roman" w:cs="Times New Roman"/>
      <w:sz w:val="22"/>
      <w:lang w:eastAsia="en-AU"/>
    </w:rPr>
  </w:style>
  <w:style w:type="paragraph" w:customStyle="1" w:styleId="I">
    <w:name w:val="I"/>
    <w:basedOn w:val="Normal"/>
    <w:rsid w:val="005A7F32"/>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257994"/>
    <w:pPr>
      <w:keepNext/>
      <w:spacing w:before="360" w:line="240" w:lineRule="auto"/>
      <w:ind w:left="964" w:hanging="964"/>
    </w:pPr>
    <w:rPr>
      <w:rFonts w:ascii="Arial" w:eastAsia="Times New Roman" w:hAnsi="Arial" w:cs="Times New Roman"/>
      <w:b/>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5546">
      <w:bodyDiv w:val="1"/>
      <w:marLeft w:val="0"/>
      <w:marRight w:val="0"/>
      <w:marTop w:val="0"/>
      <w:marBottom w:val="0"/>
      <w:divBdr>
        <w:top w:val="none" w:sz="0" w:space="0" w:color="auto"/>
        <w:left w:val="none" w:sz="0" w:space="0" w:color="auto"/>
        <w:bottom w:val="none" w:sz="0" w:space="0" w:color="auto"/>
        <w:right w:val="none" w:sz="0" w:space="0" w:color="auto"/>
      </w:divBdr>
    </w:div>
    <w:div w:id="267928631">
      <w:bodyDiv w:val="1"/>
      <w:marLeft w:val="0"/>
      <w:marRight w:val="0"/>
      <w:marTop w:val="0"/>
      <w:marBottom w:val="0"/>
      <w:divBdr>
        <w:top w:val="none" w:sz="0" w:space="0" w:color="auto"/>
        <w:left w:val="none" w:sz="0" w:space="0" w:color="auto"/>
        <w:bottom w:val="none" w:sz="0" w:space="0" w:color="auto"/>
        <w:right w:val="none" w:sz="0" w:space="0" w:color="auto"/>
      </w:divBdr>
      <w:divsChild>
        <w:div w:id="1985699673">
          <w:marLeft w:val="0"/>
          <w:marRight w:val="0"/>
          <w:marTop w:val="0"/>
          <w:marBottom w:val="0"/>
          <w:divBdr>
            <w:top w:val="none" w:sz="0" w:space="0" w:color="auto"/>
            <w:left w:val="none" w:sz="0" w:space="0" w:color="auto"/>
            <w:bottom w:val="none" w:sz="0" w:space="0" w:color="auto"/>
            <w:right w:val="none" w:sz="0" w:space="0" w:color="auto"/>
          </w:divBdr>
          <w:divsChild>
            <w:div w:id="592083576">
              <w:marLeft w:val="0"/>
              <w:marRight w:val="0"/>
              <w:marTop w:val="0"/>
              <w:marBottom w:val="0"/>
              <w:divBdr>
                <w:top w:val="none" w:sz="0" w:space="0" w:color="auto"/>
                <w:left w:val="none" w:sz="0" w:space="0" w:color="auto"/>
                <w:bottom w:val="none" w:sz="0" w:space="0" w:color="auto"/>
                <w:right w:val="none" w:sz="0" w:space="0" w:color="auto"/>
              </w:divBdr>
              <w:divsChild>
                <w:div w:id="1787382807">
                  <w:marLeft w:val="0"/>
                  <w:marRight w:val="0"/>
                  <w:marTop w:val="0"/>
                  <w:marBottom w:val="0"/>
                  <w:divBdr>
                    <w:top w:val="none" w:sz="0" w:space="0" w:color="auto"/>
                    <w:left w:val="none" w:sz="0" w:space="0" w:color="auto"/>
                    <w:bottom w:val="none" w:sz="0" w:space="0" w:color="auto"/>
                    <w:right w:val="none" w:sz="0" w:space="0" w:color="auto"/>
                  </w:divBdr>
                  <w:divsChild>
                    <w:div w:id="734470900">
                      <w:marLeft w:val="0"/>
                      <w:marRight w:val="0"/>
                      <w:marTop w:val="0"/>
                      <w:marBottom w:val="0"/>
                      <w:divBdr>
                        <w:top w:val="none" w:sz="0" w:space="0" w:color="auto"/>
                        <w:left w:val="none" w:sz="0" w:space="0" w:color="auto"/>
                        <w:bottom w:val="none" w:sz="0" w:space="0" w:color="auto"/>
                        <w:right w:val="none" w:sz="0" w:space="0" w:color="auto"/>
                      </w:divBdr>
                      <w:divsChild>
                        <w:div w:id="256401492">
                          <w:marLeft w:val="0"/>
                          <w:marRight w:val="0"/>
                          <w:marTop w:val="0"/>
                          <w:marBottom w:val="0"/>
                          <w:divBdr>
                            <w:top w:val="none" w:sz="0" w:space="0" w:color="auto"/>
                            <w:left w:val="none" w:sz="0" w:space="0" w:color="auto"/>
                            <w:bottom w:val="none" w:sz="0" w:space="0" w:color="auto"/>
                            <w:right w:val="none" w:sz="0" w:space="0" w:color="auto"/>
                          </w:divBdr>
                          <w:divsChild>
                            <w:div w:id="471605688">
                              <w:marLeft w:val="0"/>
                              <w:marRight w:val="0"/>
                              <w:marTop w:val="0"/>
                              <w:marBottom w:val="0"/>
                              <w:divBdr>
                                <w:top w:val="none" w:sz="0" w:space="0" w:color="auto"/>
                                <w:left w:val="none" w:sz="0" w:space="0" w:color="auto"/>
                                <w:bottom w:val="none" w:sz="0" w:space="0" w:color="auto"/>
                                <w:right w:val="none" w:sz="0" w:space="0" w:color="auto"/>
                              </w:divBdr>
                              <w:divsChild>
                                <w:div w:id="237709732">
                                  <w:marLeft w:val="0"/>
                                  <w:marRight w:val="0"/>
                                  <w:marTop w:val="0"/>
                                  <w:marBottom w:val="0"/>
                                  <w:divBdr>
                                    <w:top w:val="none" w:sz="0" w:space="0" w:color="auto"/>
                                    <w:left w:val="none" w:sz="0" w:space="0" w:color="auto"/>
                                    <w:bottom w:val="none" w:sz="0" w:space="0" w:color="auto"/>
                                    <w:right w:val="none" w:sz="0" w:space="0" w:color="auto"/>
                                  </w:divBdr>
                                  <w:divsChild>
                                    <w:div w:id="119419618">
                                      <w:marLeft w:val="0"/>
                                      <w:marRight w:val="0"/>
                                      <w:marTop w:val="0"/>
                                      <w:marBottom w:val="0"/>
                                      <w:divBdr>
                                        <w:top w:val="none" w:sz="0" w:space="0" w:color="auto"/>
                                        <w:left w:val="none" w:sz="0" w:space="0" w:color="auto"/>
                                        <w:bottom w:val="none" w:sz="0" w:space="0" w:color="auto"/>
                                        <w:right w:val="none" w:sz="0" w:space="0" w:color="auto"/>
                                      </w:divBdr>
                                      <w:divsChild>
                                        <w:div w:id="191848875">
                                          <w:marLeft w:val="0"/>
                                          <w:marRight w:val="0"/>
                                          <w:marTop w:val="0"/>
                                          <w:marBottom w:val="0"/>
                                          <w:divBdr>
                                            <w:top w:val="none" w:sz="0" w:space="0" w:color="auto"/>
                                            <w:left w:val="none" w:sz="0" w:space="0" w:color="auto"/>
                                            <w:bottom w:val="none" w:sz="0" w:space="0" w:color="auto"/>
                                            <w:right w:val="none" w:sz="0" w:space="0" w:color="auto"/>
                                          </w:divBdr>
                                          <w:divsChild>
                                            <w:div w:id="1049917298">
                                              <w:marLeft w:val="0"/>
                                              <w:marRight w:val="0"/>
                                              <w:marTop w:val="0"/>
                                              <w:marBottom w:val="0"/>
                                              <w:divBdr>
                                                <w:top w:val="none" w:sz="0" w:space="0" w:color="auto"/>
                                                <w:left w:val="none" w:sz="0" w:space="0" w:color="auto"/>
                                                <w:bottom w:val="none" w:sz="0" w:space="0" w:color="auto"/>
                                                <w:right w:val="none" w:sz="0" w:space="0" w:color="auto"/>
                                              </w:divBdr>
                                              <w:divsChild>
                                                <w:div w:id="1714575461">
                                                  <w:marLeft w:val="0"/>
                                                  <w:marRight w:val="0"/>
                                                  <w:marTop w:val="0"/>
                                                  <w:marBottom w:val="0"/>
                                                  <w:divBdr>
                                                    <w:top w:val="none" w:sz="0" w:space="0" w:color="auto"/>
                                                    <w:left w:val="none" w:sz="0" w:space="0" w:color="auto"/>
                                                    <w:bottom w:val="none" w:sz="0" w:space="0" w:color="auto"/>
                                                    <w:right w:val="none" w:sz="0" w:space="0" w:color="auto"/>
                                                  </w:divBdr>
                                                  <w:divsChild>
                                                    <w:div w:id="1541934847">
                                                      <w:marLeft w:val="0"/>
                                                      <w:marRight w:val="0"/>
                                                      <w:marTop w:val="0"/>
                                                      <w:marBottom w:val="0"/>
                                                      <w:divBdr>
                                                        <w:top w:val="none" w:sz="0" w:space="0" w:color="auto"/>
                                                        <w:left w:val="none" w:sz="0" w:space="0" w:color="auto"/>
                                                        <w:bottom w:val="none" w:sz="0" w:space="0" w:color="auto"/>
                                                        <w:right w:val="none" w:sz="0" w:space="0" w:color="auto"/>
                                                      </w:divBdr>
                                                      <w:divsChild>
                                                        <w:div w:id="17221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0017208">
      <w:bodyDiv w:val="1"/>
      <w:marLeft w:val="0"/>
      <w:marRight w:val="0"/>
      <w:marTop w:val="0"/>
      <w:marBottom w:val="0"/>
      <w:divBdr>
        <w:top w:val="none" w:sz="0" w:space="0" w:color="auto"/>
        <w:left w:val="none" w:sz="0" w:space="0" w:color="auto"/>
        <w:bottom w:val="none" w:sz="0" w:space="0" w:color="auto"/>
        <w:right w:val="none" w:sz="0" w:space="0" w:color="auto"/>
      </w:divBdr>
      <w:divsChild>
        <w:div w:id="319307191">
          <w:marLeft w:val="0"/>
          <w:marRight w:val="0"/>
          <w:marTop w:val="0"/>
          <w:marBottom w:val="0"/>
          <w:divBdr>
            <w:top w:val="none" w:sz="0" w:space="0" w:color="auto"/>
            <w:left w:val="none" w:sz="0" w:space="0" w:color="auto"/>
            <w:bottom w:val="none" w:sz="0" w:space="0" w:color="auto"/>
            <w:right w:val="none" w:sz="0" w:space="0" w:color="auto"/>
          </w:divBdr>
          <w:divsChild>
            <w:div w:id="638146116">
              <w:marLeft w:val="0"/>
              <w:marRight w:val="0"/>
              <w:marTop w:val="0"/>
              <w:marBottom w:val="0"/>
              <w:divBdr>
                <w:top w:val="none" w:sz="0" w:space="0" w:color="auto"/>
                <w:left w:val="none" w:sz="0" w:space="0" w:color="auto"/>
                <w:bottom w:val="none" w:sz="0" w:space="0" w:color="auto"/>
                <w:right w:val="none" w:sz="0" w:space="0" w:color="auto"/>
              </w:divBdr>
              <w:divsChild>
                <w:div w:id="1390150190">
                  <w:marLeft w:val="0"/>
                  <w:marRight w:val="0"/>
                  <w:marTop w:val="0"/>
                  <w:marBottom w:val="0"/>
                  <w:divBdr>
                    <w:top w:val="none" w:sz="0" w:space="0" w:color="auto"/>
                    <w:left w:val="none" w:sz="0" w:space="0" w:color="auto"/>
                    <w:bottom w:val="none" w:sz="0" w:space="0" w:color="auto"/>
                    <w:right w:val="none" w:sz="0" w:space="0" w:color="auto"/>
                  </w:divBdr>
                  <w:divsChild>
                    <w:div w:id="2125222793">
                      <w:marLeft w:val="0"/>
                      <w:marRight w:val="0"/>
                      <w:marTop w:val="0"/>
                      <w:marBottom w:val="0"/>
                      <w:divBdr>
                        <w:top w:val="none" w:sz="0" w:space="0" w:color="auto"/>
                        <w:left w:val="none" w:sz="0" w:space="0" w:color="auto"/>
                        <w:bottom w:val="none" w:sz="0" w:space="0" w:color="auto"/>
                        <w:right w:val="none" w:sz="0" w:space="0" w:color="auto"/>
                      </w:divBdr>
                      <w:divsChild>
                        <w:div w:id="239021443">
                          <w:marLeft w:val="0"/>
                          <w:marRight w:val="0"/>
                          <w:marTop w:val="0"/>
                          <w:marBottom w:val="0"/>
                          <w:divBdr>
                            <w:top w:val="none" w:sz="0" w:space="0" w:color="auto"/>
                            <w:left w:val="none" w:sz="0" w:space="0" w:color="auto"/>
                            <w:bottom w:val="none" w:sz="0" w:space="0" w:color="auto"/>
                            <w:right w:val="none" w:sz="0" w:space="0" w:color="auto"/>
                          </w:divBdr>
                          <w:divsChild>
                            <w:div w:id="1206671880">
                              <w:marLeft w:val="0"/>
                              <w:marRight w:val="0"/>
                              <w:marTop w:val="0"/>
                              <w:marBottom w:val="0"/>
                              <w:divBdr>
                                <w:top w:val="none" w:sz="0" w:space="0" w:color="auto"/>
                                <w:left w:val="none" w:sz="0" w:space="0" w:color="auto"/>
                                <w:bottom w:val="none" w:sz="0" w:space="0" w:color="auto"/>
                                <w:right w:val="none" w:sz="0" w:space="0" w:color="auto"/>
                              </w:divBdr>
                              <w:divsChild>
                                <w:div w:id="1890604447">
                                  <w:marLeft w:val="0"/>
                                  <w:marRight w:val="0"/>
                                  <w:marTop w:val="0"/>
                                  <w:marBottom w:val="0"/>
                                  <w:divBdr>
                                    <w:top w:val="none" w:sz="0" w:space="0" w:color="auto"/>
                                    <w:left w:val="none" w:sz="0" w:space="0" w:color="auto"/>
                                    <w:bottom w:val="none" w:sz="0" w:space="0" w:color="auto"/>
                                    <w:right w:val="none" w:sz="0" w:space="0" w:color="auto"/>
                                  </w:divBdr>
                                  <w:divsChild>
                                    <w:div w:id="1214000541">
                                      <w:marLeft w:val="0"/>
                                      <w:marRight w:val="0"/>
                                      <w:marTop w:val="0"/>
                                      <w:marBottom w:val="0"/>
                                      <w:divBdr>
                                        <w:top w:val="none" w:sz="0" w:space="0" w:color="auto"/>
                                        <w:left w:val="none" w:sz="0" w:space="0" w:color="auto"/>
                                        <w:bottom w:val="none" w:sz="0" w:space="0" w:color="auto"/>
                                        <w:right w:val="none" w:sz="0" w:space="0" w:color="auto"/>
                                      </w:divBdr>
                                      <w:divsChild>
                                        <w:div w:id="1874150623">
                                          <w:marLeft w:val="0"/>
                                          <w:marRight w:val="0"/>
                                          <w:marTop w:val="0"/>
                                          <w:marBottom w:val="0"/>
                                          <w:divBdr>
                                            <w:top w:val="none" w:sz="0" w:space="0" w:color="auto"/>
                                            <w:left w:val="none" w:sz="0" w:space="0" w:color="auto"/>
                                            <w:bottom w:val="none" w:sz="0" w:space="0" w:color="auto"/>
                                            <w:right w:val="none" w:sz="0" w:space="0" w:color="auto"/>
                                          </w:divBdr>
                                          <w:divsChild>
                                            <w:div w:id="14395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188355">
      <w:bodyDiv w:val="1"/>
      <w:marLeft w:val="0"/>
      <w:marRight w:val="0"/>
      <w:marTop w:val="0"/>
      <w:marBottom w:val="0"/>
      <w:divBdr>
        <w:top w:val="none" w:sz="0" w:space="0" w:color="auto"/>
        <w:left w:val="none" w:sz="0" w:space="0" w:color="auto"/>
        <w:bottom w:val="none" w:sz="0" w:space="0" w:color="auto"/>
        <w:right w:val="none" w:sz="0" w:space="0" w:color="auto"/>
      </w:divBdr>
    </w:div>
    <w:div w:id="881096281">
      <w:bodyDiv w:val="1"/>
      <w:marLeft w:val="0"/>
      <w:marRight w:val="0"/>
      <w:marTop w:val="0"/>
      <w:marBottom w:val="0"/>
      <w:divBdr>
        <w:top w:val="none" w:sz="0" w:space="0" w:color="auto"/>
        <w:left w:val="none" w:sz="0" w:space="0" w:color="auto"/>
        <w:bottom w:val="none" w:sz="0" w:space="0" w:color="auto"/>
        <w:right w:val="none" w:sz="0" w:space="0" w:color="auto"/>
      </w:divBdr>
      <w:divsChild>
        <w:div w:id="157770110">
          <w:marLeft w:val="0"/>
          <w:marRight w:val="0"/>
          <w:marTop w:val="0"/>
          <w:marBottom w:val="0"/>
          <w:divBdr>
            <w:top w:val="none" w:sz="0" w:space="0" w:color="auto"/>
            <w:left w:val="none" w:sz="0" w:space="0" w:color="auto"/>
            <w:bottom w:val="none" w:sz="0" w:space="0" w:color="auto"/>
            <w:right w:val="none" w:sz="0" w:space="0" w:color="auto"/>
          </w:divBdr>
          <w:divsChild>
            <w:div w:id="1813403934">
              <w:marLeft w:val="0"/>
              <w:marRight w:val="0"/>
              <w:marTop w:val="0"/>
              <w:marBottom w:val="0"/>
              <w:divBdr>
                <w:top w:val="none" w:sz="0" w:space="0" w:color="auto"/>
                <w:left w:val="none" w:sz="0" w:space="0" w:color="auto"/>
                <w:bottom w:val="none" w:sz="0" w:space="0" w:color="auto"/>
                <w:right w:val="none" w:sz="0" w:space="0" w:color="auto"/>
              </w:divBdr>
              <w:divsChild>
                <w:div w:id="511457697">
                  <w:marLeft w:val="0"/>
                  <w:marRight w:val="0"/>
                  <w:marTop w:val="0"/>
                  <w:marBottom w:val="0"/>
                  <w:divBdr>
                    <w:top w:val="none" w:sz="0" w:space="0" w:color="auto"/>
                    <w:left w:val="none" w:sz="0" w:space="0" w:color="auto"/>
                    <w:bottom w:val="none" w:sz="0" w:space="0" w:color="auto"/>
                    <w:right w:val="none" w:sz="0" w:space="0" w:color="auto"/>
                  </w:divBdr>
                  <w:divsChild>
                    <w:div w:id="1546481516">
                      <w:marLeft w:val="0"/>
                      <w:marRight w:val="0"/>
                      <w:marTop w:val="0"/>
                      <w:marBottom w:val="0"/>
                      <w:divBdr>
                        <w:top w:val="none" w:sz="0" w:space="0" w:color="auto"/>
                        <w:left w:val="none" w:sz="0" w:space="0" w:color="auto"/>
                        <w:bottom w:val="none" w:sz="0" w:space="0" w:color="auto"/>
                        <w:right w:val="none" w:sz="0" w:space="0" w:color="auto"/>
                      </w:divBdr>
                      <w:divsChild>
                        <w:div w:id="163210446">
                          <w:marLeft w:val="0"/>
                          <w:marRight w:val="0"/>
                          <w:marTop w:val="0"/>
                          <w:marBottom w:val="0"/>
                          <w:divBdr>
                            <w:top w:val="none" w:sz="0" w:space="0" w:color="auto"/>
                            <w:left w:val="none" w:sz="0" w:space="0" w:color="auto"/>
                            <w:bottom w:val="none" w:sz="0" w:space="0" w:color="auto"/>
                            <w:right w:val="none" w:sz="0" w:space="0" w:color="auto"/>
                          </w:divBdr>
                          <w:divsChild>
                            <w:div w:id="1005278167">
                              <w:marLeft w:val="0"/>
                              <w:marRight w:val="0"/>
                              <w:marTop w:val="0"/>
                              <w:marBottom w:val="0"/>
                              <w:divBdr>
                                <w:top w:val="none" w:sz="0" w:space="0" w:color="auto"/>
                                <w:left w:val="none" w:sz="0" w:space="0" w:color="auto"/>
                                <w:bottom w:val="none" w:sz="0" w:space="0" w:color="auto"/>
                                <w:right w:val="none" w:sz="0" w:space="0" w:color="auto"/>
                              </w:divBdr>
                              <w:divsChild>
                                <w:div w:id="1663849696">
                                  <w:marLeft w:val="0"/>
                                  <w:marRight w:val="0"/>
                                  <w:marTop w:val="0"/>
                                  <w:marBottom w:val="0"/>
                                  <w:divBdr>
                                    <w:top w:val="none" w:sz="0" w:space="0" w:color="auto"/>
                                    <w:left w:val="none" w:sz="0" w:space="0" w:color="auto"/>
                                    <w:bottom w:val="none" w:sz="0" w:space="0" w:color="auto"/>
                                    <w:right w:val="none" w:sz="0" w:space="0" w:color="auto"/>
                                  </w:divBdr>
                                  <w:divsChild>
                                    <w:div w:id="1980844510">
                                      <w:marLeft w:val="0"/>
                                      <w:marRight w:val="0"/>
                                      <w:marTop w:val="0"/>
                                      <w:marBottom w:val="0"/>
                                      <w:divBdr>
                                        <w:top w:val="none" w:sz="0" w:space="0" w:color="auto"/>
                                        <w:left w:val="none" w:sz="0" w:space="0" w:color="auto"/>
                                        <w:bottom w:val="none" w:sz="0" w:space="0" w:color="auto"/>
                                        <w:right w:val="none" w:sz="0" w:space="0" w:color="auto"/>
                                      </w:divBdr>
                                      <w:divsChild>
                                        <w:div w:id="1967545433">
                                          <w:marLeft w:val="0"/>
                                          <w:marRight w:val="0"/>
                                          <w:marTop w:val="0"/>
                                          <w:marBottom w:val="0"/>
                                          <w:divBdr>
                                            <w:top w:val="none" w:sz="0" w:space="0" w:color="auto"/>
                                            <w:left w:val="none" w:sz="0" w:space="0" w:color="auto"/>
                                            <w:bottom w:val="none" w:sz="0" w:space="0" w:color="auto"/>
                                            <w:right w:val="none" w:sz="0" w:space="0" w:color="auto"/>
                                          </w:divBdr>
                                          <w:divsChild>
                                            <w:div w:id="1914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362257">
      <w:bodyDiv w:val="1"/>
      <w:marLeft w:val="0"/>
      <w:marRight w:val="0"/>
      <w:marTop w:val="0"/>
      <w:marBottom w:val="0"/>
      <w:divBdr>
        <w:top w:val="none" w:sz="0" w:space="0" w:color="auto"/>
        <w:left w:val="none" w:sz="0" w:space="0" w:color="auto"/>
        <w:bottom w:val="none" w:sz="0" w:space="0" w:color="auto"/>
        <w:right w:val="none" w:sz="0" w:space="0" w:color="auto"/>
      </w:divBdr>
    </w:div>
    <w:div w:id="1075278972">
      <w:bodyDiv w:val="1"/>
      <w:marLeft w:val="0"/>
      <w:marRight w:val="0"/>
      <w:marTop w:val="0"/>
      <w:marBottom w:val="0"/>
      <w:divBdr>
        <w:top w:val="none" w:sz="0" w:space="0" w:color="auto"/>
        <w:left w:val="none" w:sz="0" w:space="0" w:color="auto"/>
        <w:bottom w:val="none" w:sz="0" w:space="0" w:color="auto"/>
        <w:right w:val="none" w:sz="0" w:space="0" w:color="auto"/>
      </w:divBdr>
    </w:div>
    <w:div w:id="1477646386">
      <w:bodyDiv w:val="1"/>
      <w:marLeft w:val="0"/>
      <w:marRight w:val="0"/>
      <w:marTop w:val="0"/>
      <w:marBottom w:val="0"/>
      <w:divBdr>
        <w:top w:val="none" w:sz="0" w:space="0" w:color="auto"/>
        <w:left w:val="none" w:sz="0" w:space="0" w:color="auto"/>
        <w:bottom w:val="none" w:sz="0" w:space="0" w:color="auto"/>
        <w:right w:val="none" w:sz="0" w:space="0" w:color="auto"/>
      </w:divBdr>
    </w:div>
    <w:div w:id="1735354277">
      <w:bodyDiv w:val="1"/>
      <w:marLeft w:val="0"/>
      <w:marRight w:val="0"/>
      <w:marTop w:val="0"/>
      <w:marBottom w:val="0"/>
      <w:divBdr>
        <w:top w:val="none" w:sz="0" w:space="0" w:color="auto"/>
        <w:left w:val="none" w:sz="0" w:space="0" w:color="auto"/>
        <w:bottom w:val="none" w:sz="0" w:space="0" w:color="auto"/>
        <w:right w:val="none" w:sz="0" w:space="0" w:color="auto"/>
      </w:divBdr>
      <w:divsChild>
        <w:div w:id="1486125708">
          <w:marLeft w:val="0"/>
          <w:marRight w:val="0"/>
          <w:marTop w:val="0"/>
          <w:marBottom w:val="0"/>
          <w:divBdr>
            <w:top w:val="none" w:sz="0" w:space="0" w:color="auto"/>
            <w:left w:val="none" w:sz="0" w:space="0" w:color="auto"/>
            <w:bottom w:val="none" w:sz="0" w:space="0" w:color="auto"/>
            <w:right w:val="none" w:sz="0" w:space="0" w:color="auto"/>
          </w:divBdr>
          <w:divsChild>
            <w:div w:id="110394032">
              <w:marLeft w:val="0"/>
              <w:marRight w:val="0"/>
              <w:marTop w:val="0"/>
              <w:marBottom w:val="0"/>
              <w:divBdr>
                <w:top w:val="none" w:sz="0" w:space="0" w:color="auto"/>
                <w:left w:val="none" w:sz="0" w:space="0" w:color="auto"/>
                <w:bottom w:val="none" w:sz="0" w:space="0" w:color="auto"/>
                <w:right w:val="none" w:sz="0" w:space="0" w:color="auto"/>
              </w:divBdr>
              <w:divsChild>
                <w:div w:id="1932352151">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33425344">
                          <w:marLeft w:val="0"/>
                          <w:marRight w:val="0"/>
                          <w:marTop w:val="0"/>
                          <w:marBottom w:val="0"/>
                          <w:divBdr>
                            <w:top w:val="none" w:sz="0" w:space="0" w:color="auto"/>
                            <w:left w:val="none" w:sz="0" w:space="0" w:color="auto"/>
                            <w:bottom w:val="none" w:sz="0" w:space="0" w:color="auto"/>
                            <w:right w:val="none" w:sz="0" w:space="0" w:color="auto"/>
                          </w:divBdr>
                          <w:divsChild>
                            <w:div w:id="1661687378">
                              <w:marLeft w:val="0"/>
                              <w:marRight w:val="0"/>
                              <w:marTop w:val="0"/>
                              <w:marBottom w:val="0"/>
                              <w:divBdr>
                                <w:top w:val="none" w:sz="0" w:space="0" w:color="auto"/>
                                <w:left w:val="none" w:sz="0" w:space="0" w:color="auto"/>
                                <w:bottom w:val="none" w:sz="0" w:space="0" w:color="auto"/>
                                <w:right w:val="none" w:sz="0" w:space="0" w:color="auto"/>
                              </w:divBdr>
                              <w:divsChild>
                                <w:div w:id="497890744">
                                  <w:marLeft w:val="0"/>
                                  <w:marRight w:val="0"/>
                                  <w:marTop w:val="0"/>
                                  <w:marBottom w:val="0"/>
                                  <w:divBdr>
                                    <w:top w:val="none" w:sz="0" w:space="0" w:color="auto"/>
                                    <w:left w:val="none" w:sz="0" w:space="0" w:color="auto"/>
                                    <w:bottom w:val="none" w:sz="0" w:space="0" w:color="auto"/>
                                    <w:right w:val="none" w:sz="0" w:space="0" w:color="auto"/>
                                  </w:divBdr>
                                  <w:divsChild>
                                    <w:div w:id="956957740">
                                      <w:marLeft w:val="0"/>
                                      <w:marRight w:val="0"/>
                                      <w:marTop w:val="0"/>
                                      <w:marBottom w:val="0"/>
                                      <w:divBdr>
                                        <w:top w:val="none" w:sz="0" w:space="0" w:color="auto"/>
                                        <w:left w:val="none" w:sz="0" w:space="0" w:color="auto"/>
                                        <w:bottom w:val="none" w:sz="0" w:space="0" w:color="auto"/>
                                        <w:right w:val="none" w:sz="0" w:space="0" w:color="auto"/>
                                      </w:divBdr>
                                      <w:divsChild>
                                        <w:div w:id="443691757">
                                          <w:marLeft w:val="0"/>
                                          <w:marRight w:val="0"/>
                                          <w:marTop w:val="0"/>
                                          <w:marBottom w:val="0"/>
                                          <w:divBdr>
                                            <w:top w:val="none" w:sz="0" w:space="0" w:color="auto"/>
                                            <w:left w:val="none" w:sz="0" w:space="0" w:color="auto"/>
                                            <w:bottom w:val="none" w:sz="0" w:space="0" w:color="auto"/>
                                            <w:right w:val="none" w:sz="0" w:space="0" w:color="auto"/>
                                          </w:divBdr>
                                          <w:divsChild>
                                            <w:div w:id="20288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4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Sundry\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2253-9FA9-454A-8C38-D8120752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Sundry.dotx</Template>
  <TotalTime>3</TotalTime>
  <Pages>16</Pages>
  <Words>3498</Words>
  <Characters>19594</Characters>
  <Application>Microsoft Office Word</Application>
  <DocSecurity>12</DocSecurity>
  <Lines>753</Lines>
  <Paragraphs>398</Paragraphs>
  <ScaleCrop>false</ScaleCrop>
  <HeadingPairs>
    <vt:vector size="2" baseType="variant">
      <vt:variant>
        <vt:lpstr>Title</vt:lpstr>
      </vt:variant>
      <vt:variant>
        <vt:i4>1</vt:i4>
      </vt:variant>
    </vt:vector>
  </HeadingPairs>
  <TitlesOfParts>
    <vt:vector size="1" baseType="lpstr">
      <vt:lpstr>Editorial Changes—Report No. 3</vt:lpstr>
    </vt:vector>
  </TitlesOfParts>
  <Company>Office of Parliamentary Counsel</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3</dc:title>
  <dc:creator>conduitn</dc:creator>
  <cp:lastModifiedBy>Cuming, Lorna</cp:lastModifiedBy>
  <cp:revision>2</cp:revision>
  <cp:lastPrinted>2017-03-03T04:59:00Z</cp:lastPrinted>
  <dcterms:created xsi:type="dcterms:W3CDTF">2017-07-05T01:51:00Z</dcterms:created>
  <dcterms:modified xsi:type="dcterms:W3CDTF">2017-07-05T01:51:00Z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DoNotAsk">
    <vt:lpwstr>0</vt:lpwstr>
  </property>
  <property fmtid="{D5CDD505-2E9C-101B-9397-08002B2CF9AE}" pid="5" name="ChangedTitle">
    <vt:lpwstr/>
  </property>
  <property fmtid="{D5CDD505-2E9C-101B-9397-08002B2CF9AE}" pid="6" name="TrimID">
    <vt:lpwstr>PC:D17/8994</vt:lpwstr>
  </property>
</Properties>
</file>