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Pr="005A55CD" w:rsidRDefault="00C1453D" w:rsidP="00C1453D">
      <w:pPr>
        <w:pStyle w:val="Head1"/>
        <w:tabs>
          <w:tab w:val="left" w:pos="426"/>
        </w:tabs>
      </w:pPr>
      <w:bookmarkStart w:id="0" w:name="_GoBack"/>
      <w:bookmarkEnd w:id="0"/>
      <w:r w:rsidRPr="005A55CD">
        <w:t>Editorial Changes—Report No.</w:t>
      </w:r>
      <w:r w:rsidR="0033109F" w:rsidRPr="005A55CD">
        <w:t> 1</w:t>
      </w:r>
      <w:r w:rsidR="005252ED">
        <w:t>7</w:t>
      </w:r>
    </w:p>
    <w:p w:rsidR="00AC23E7" w:rsidRPr="005A55CD" w:rsidRDefault="00AC23E7" w:rsidP="00AC23E7">
      <w:pPr>
        <w:pStyle w:val="Head2"/>
      </w:pPr>
      <w:r w:rsidRPr="005A55CD">
        <w:t>1 January 202</w:t>
      </w:r>
      <w:r>
        <w:t>4</w:t>
      </w:r>
      <w:r w:rsidRPr="005A55CD">
        <w:t>–30 June 202</w:t>
      </w:r>
      <w:r>
        <w:t>4</w:t>
      </w:r>
    </w:p>
    <w:p w:rsidR="00C1453D" w:rsidRPr="005A55CD" w:rsidRDefault="00C1453D" w:rsidP="00C1453D">
      <w:pPr>
        <w:pStyle w:val="BodyNum"/>
      </w:pPr>
      <w:r w:rsidRPr="005A55CD">
        <w:t xml:space="preserve">In preparing compilations for registration during the above period, First Parliamentary Counsel made the following editorial changes under the </w:t>
      </w:r>
      <w:r w:rsidRPr="005A55CD">
        <w:rPr>
          <w:i/>
        </w:rPr>
        <w:t>Legislation Act 2003</w:t>
      </w:r>
      <w:r w:rsidRPr="005A55CD">
        <w:t>.</w:t>
      </w:r>
    </w:p>
    <w:p w:rsidR="00C1453D" w:rsidRPr="00DC12F2" w:rsidRDefault="00C1453D" w:rsidP="00C1453D">
      <w:pPr>
        <w:pStyle w:val="BodyNum"/>
      </w:pPr>
      <w:r w:rsidRPr="00DC12F2">
        <w:t xml:space="preserve">The summary of editorial changes for the </w:t>
      </w:r>
      <w:r w:rsidR="00505ABF">
        <w:t>3</w:t>
      </w:r>
      <w:r w:rsidR="001A7B4E">
        <w:t>9</w:t>
      </w:r>
      <w:r w:rsidR="00732892" w:rsidRPr="00DC12F2">
        <w:t xml:space="preserve"> </w:t>
      </w:r>
      <w:r w:rsidRPr="00DC12F2">
        <w:t>compilation</w:t>
      </w:r>
      <w:r w:rsidR="002A2B49">
        <w:t>s</w:t>
      </w:r>
      <w:r w:rsidRPr="00DC12F2">
        <w:t xml:space="preserve"> affected is as follows:</w:t>
      </w:r>
    </w:p>
    <w:p w:rsidR="00C1453D" w:rsidRPr="005A55CD" w:rsidRDefault="00C1453D" w:rsidP="00C1453D">
      <w:pPr>
        <w:pStyle w:val="Tabletext"/>
      </w:pPr>
    </w:p>
    <w:tbl>
      <w:tblPr>
        <w:tblW w:w="902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5A55CD" w:rsidTr="00287088">
        <w:trPr>
          <w:tblHeader/>
        </w:trPr>
        <w:tc>
          <w:tcPr>
            <w:tcW w:w="714"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Item</w:t>
            </w:r>
          </w:p>
        </w:tc>
        <w:tc>
          <w:tcPr>
            <w:tcW w:w="6652"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Kind of editorial change</w:t>
            </w:r>
          </w:p>
        </w:tc>
        <w:tc>
          <w:tcPr>
            <w:tcW w:w="1660" w:type="dxa"/>
            <w:tcBorders>
              <w:top w:val="single" w:sz="12" w:space="0" w:color="auto"/>
              <w:bottom w:val="single" w:sz="12" w:space="0" w:color="auto"/>
            </w:tcBorders>
            <w:shd w:val="clear" w:color="auto" w:fill="auto"/>
          </w:tcPr>
          <w:p w:rsidR="00C1453D" w:rsidRPr="005A55CD" w:rsidRDefault="00C1453D" w:rsidP="00DD16B9">
            <w:pPr>
              <w:pStyle w:val="TableHeading"/>
            </w:pPr>
            <w:r w:rsidRPr="005A55CD">
              <w:t>Number</w:t>
            </w:r>
          </w:p>
        </w:tc>
      </w:tr>
      <w:tr w:rsidR="00B9016A" w:rsidRPr="005A55CD" w:rsidTr="002F075C">
        <w:tc>
          <w:tcPr>
            <w:tcW w:w="714" w:type="dxa"/>
            <w:tcBorders>
              <w:top w:val="single" w:sz="12" w:space="0" w:color="auto"/>
              <w:bottom w:val="single" w:sz="2" w:space="0" w:color="auto"/>
            </w:tcBorders>
            <w:shd w:val="clear" w:color="auto" w:fill="auto"/>
          </w:tcPr>
          <w:p w:rsidR="00B9016A" w:rsidRDefault="00666F97" w:rsidP="00B9016A">
            <w:pPr>
              <w:pStyle w:val="Tabletext"/>
            </w:pPr>
            <w:r>
              <w:t>1</w:t>
            </w:r>
          </w:p>
        </w:tc>
        <w:tc>
          <w:tcPr>
            <w:tcW w:w="6652" w:type="dxa"/>
            <w:tcBorders>
              <w:top w:val="single" w:sz="12" w:space="0" w:color="auto"/>
              <w:bottom w:val="single" w:sz="2" w:space="0" w:color="auto"/>
            </w:tcBorders>
            <w:shd w:val="clear" w:color="auto" w:fill="auto"/>
          </w:tcPr>
          <w:p w:rsidR="00B9016A" w:rsidRDefault="002F075C" w:rsidP="00B9016A">
            <w:pPr>
              <w:pStyle w:val="Tabletext"/>
            </w:pPr>
            <w:r w:rsidRPr="009219E7">
              <w:t>Change</w:t>
            </w:r>
            <w:r>
              <w:t>s</w:t>
            </w:r>
            <w:r w:rsidRPr="009219E7">
              <w:t xml:space="preserve"> to capitalisation</w:t>
            </w:r>
          </w:p>
        </w:tc>
        <w:tc>
          <w:tcPr>
            <w:tcW w:w="1660" w:type="dxa"/>
            <w:tcBorders>
              <w:top w:val="single" w:sz="12" w:space="0" w:color="auto"/>
              <w:bottom w:val="single" w:sz="2" w:space="0" w:color="auto"/>
            </w:tcBorders>
            <w:shd w:val="clear" w:color="auto" w:fill="auto"/>
          </w:tcPr>
          <w:p w:rsidR="00B9016A" w:rsidRDefault="00C07690" w:rsidP="00B9016A">
            <w:pPr>
              <w:pStyle w:val="Tabletext"/>
            </w:pPr>
            <w:r>
              <w:t>2</w:t>
            </w:r>
          </w:p>
        </w:tc>
      </w:tr>
      <w:tr w:rsidR="002F075C" w:rsidRPr="005A55CD" w:rsidTr="002F075C">
        <w:tc>
          <w:tcPr>
            <w:tcW w:w="714" w:type="dxa"/>
            <w:tcBorders>
              <w:top w:val="single" w:sz="2" w:space="0" w:color="auto"/>
              <w:bottom w:val="single" w:sz="2" w:space="0" w:color="auto"/>
            </w:tcBorders>
            <w:shd w:val="clear" w:color="auto" w:fill="auto"/>
          </w:tcPr>
          <w:p w:rsidR="002F075C" w:rsidRDefault="002F075C" w:rsidP="00B9016A">
            <w:pPr>
              <w:pStyle w:val="Tabletext"/>
            </w:pPr>
            <w:r>
              <w:t>2</w:t>
            </w:r>
          </w:p>
        </w:tc>
        <w:tc>
          <w:tcPr>
            <w:tcW w:w="6652" w:type="dxa"/>
            <w:tcBorders>
              <w:top w:val="single" w:sz="2" w:space="0" w:color="auto"/>
              <w:bottom w:val="single" w:sz="2" w:space="0" w:color="auto"/>
            </w:tcBorders>
            <w:shd w:val="clear" w:color="auto" w:fill="auto"/>
          </w:tcPr>
          <w:p w:rsidR="002F075C" w:rsidRPr="00287088" w:rsidRDefault="002F075C" w:rsidP="00B9016A">
            <w:pPr>
              <w:pStyle w:val="Tabletext"/>
            </w:pPr>
            <w:r w:rsidRPr="00287088">
              <w:t>Changes to grammar, syntax or the use of conjunctives or disjunctives</w:t>
            </w:r>
          </w:p>
        </w:tc>
        <w:tc>
          <w:tcPr>
            <w:tcW w:w="1660" w:type="dxa"/>
            <w:tcBorders>
              <w:top w:val="single" w:sz="2" w:space="0" w:color="auto"/>
              <w:bottom w:val="single" w:sz="2" w:space="0" w:color="auto"/>
            </w:tcBorders>
            <w:shd w:val="clear" w:color="auto" w:fill="auto"/>
          </w:tcPr>
          <w:p w:rsidR="002F075C" w:rsidRDefault="002F075C" w:rsidP="00B9016A">
            <w:pPr>
              <w:pStyle w:val="Tabletext"/>
            </w:pPr>
            <w:r>
              <w:t>2</w:t>
            </w:r>
          </w:p>
        </w:tc>
      </w:tr>
      <w:tr w:rsidR="00287088" w:rsidRPr="005A55CD" w:rsidTr="002C685B">
        <w:tc>
          <w:tcPr>
            <w:tcW w:w="714" w:type="dxa"/>
            <w:tcBorders>
              <w:top w:val="single" w:sz="2" w:space="0" w:color="auto"/>
              <w:bottom w:val="single" w:sz="2" w:space="0" w:color="auto"/>
            </w:tcBorders>
            <w:shd w:val="clear" w:color="auto" w:fill="auto"/>
          </w:tcPr>
          <w:p w:rsidR="00287088" w:rsidRDefault="002F075C" w:rsidP="00287088">
            <w:pPr>
              <w:pStyle w:val="Tabletext"/>
            </w:pPr>
            <w:r>
              <w:t>3</w:t>
            </w:r>
          </w:p>
        </w:tc>
        <w:tc>
          <w:tcPr>
            <w:tcW w:w="6652" w:type="dxa"/>
            <w:tcBorders>
              <w:top w:val="single" w:sz="2" w:space="0" w:color="auto"/>
              <w:bottom w:val="single" w:sz="2" w:space="0" w:color="auto"/>
            </w:tcBorders>
            <w:shd w:val="clear" w:color="auto" w:fill="auto"/>
          </w:tcPr>
          <w:p w:rsidR="00287088" w:rsidRDefault="00287088" w:rsidP="00287088">
            <w:pPr>
              <w:pStyle w:val="Tabletext"/>
            </w:pPr>
            <w:r w:rsidRPr="00634B11">
              <w:t>Changes to punctuation</w:t>
            </w:r>
          </w:p>
        </w:tc>
        <w:tc>
          <w:tcPr>
            <w:tcW w:w="1660" w:type="dxa"/>
            <w:tcBorders>
              <w:top w:val="single" w:sz="2" w:space="0" w:color="auto"/>
              <w:bottom w:val="single" w:sz="2" w:space="0" w:color="auto"/>
            </w:tcBorders>
            <w:shd w:val="clear" w:color="auto" w:fill="auto"/>
          </w:tcPr>
          <w:p w:rsidR="00287088" w:rsidRDefault="00686300" w:rsidP="00287088">
            <w:pPr>
              <w:pStyle w:val="Tabletext"/>
            </w:pPr>
            <w:r>
              <w:t>8</w:t>
            </w:r>
          </w:p>
        </w:tc>
      </w:tr>
      <w:tr w:rsidR="00287088" w:rsidRPr="005A55CD" w:rsidTr="002C685B">
        <w:tc>
          <w:tcPr>
            <w:tcW w:w="714" w:type="dxa"/>
            <w:tcBorders>
              <w:top w:val="single" w:sz="2" w:space="0" w:color="auto"/>
              <w:bottom w:val="single" w:sz="2" w:space="0" w:color="auto"/>
            </w:tcBorders>
            <w:shd w:val="clear" w:color="auto" w:fill="auto"/>
          </w:tcPr>
          <w:p w:rsidR="00287088" w:rsidRDefault="002F075C" w:rsidP="00287088">
            <w:pPr>
              <w:pStyle w:val="Tabletext"/>
            </w:pPr>
            <w:r>
              <w:t>4</w:t>
            </w:r>
          </w:p>
        </w:tc>
        <w:tc>
          <w:tcPr>
            <w:tcW w:w="6652" w:type="dxa"/>
            <w:tcBorders>
              <w:top w:val="single" w:sz="2" w:space="0" w:color="auto"/>
              <w:bottom w:val="single" w:sz="2" w:space="0" w:color="auto"/>
            </w:tcBorders>
            <w:shd w:val="clear" w:color="auto" w:fill="auto"/>
          </w:tcPr>
          <w:p w:rsidR="00287088" w:rsidRDefault="00287088" w:rsidP="00287088">
            <w:pPr>
              <w:pStyle w:val="Tabletext"/>
            </w:pPr>
            <w:r>
              <w:t>Changes to spelling</w:t>
            </w:r>
          </w:p>
        </w:tc>
        <w:tc>
          <w:tcPr>
            <w:tcW w:w="1660" w:type="dxa"/>
            <w:tcBorders>
              <w:top w:val="single" w:sz="2" w:space="0" w:color="auto"/>
              <w:bottom w:val="single" w:sz="2" w:space="0" w:color="auto"/>
            </w:tcBorders>
            <w:shd w:val="clear" w:color="auto" w:fill="auto"/>
          </w:tcPr>
          <w:p w:rsidR="00287088" w:rsidRDefault="00287088" w:rsidP="00287088">
            <w:pPr>
              <w:pStyle w:val="Tabletext"/>
            </w:pPr>
            <w:r>
              <w:t>1</w:t>
            </w:r>
          </w:p>
        </w:tc>
      </w:tr>
      <w:tr w:rsidR="00CA710C" w:rsidRPr="005A55CD" w:rsidTr="002C685B">
        <w:tc>
          <w:tcPr>
            <w:tcW w:w="714" w:type="dxa"/>
            <w:tcBorders>
              <w:top w:val="single" w:sz="2" w:space="0" w:color="auto"/>
              <w:bottom w:val="single" w:sz="2" w:space="0" w:color="auto"/>
            </w:tcBorders>
            <w:shd w:val="clear" w:color="auto" w:fill="auto"/>
          </w:tcPr>
          <w:p w:rsidR="00CA710C" w:rsidRDefault="002F075C" w:rsidP="00287088">
            <w:pPr>
              <w:pStyle w:val="Tabletext"/>
            </w:pPr>
            <w:r>
              <w:t>5</w:t>
            </w:r>
          </w:p>
        </w:tc>
        <w:tc>
          <w:tcPr>
            <w:tcW w:w="6652" w:type="dxa"/>
            <w:tcBorders>
              <w:top w:val="single" w:sz="2" w:space="0" w:color="auto"/>
              <w:bottom w:val="single" w:sz="2" w:space="0" w:color="auto"/>
            </w:tcBorders>
            <w:shd w:val="clear" w:color="auto" w:fill="auto"/>
          </w:tcPr>
          <w:p w:rsidR="00CA710C" w:rsidRDefault="00F9365E" w:rsidP="00287088">
            <w:pPr>
              <w:pStyle w:val="Tabletext"/>
            </w:pPr>
            <w:r w:rsidRPr="00DB7959">
              <w:t>Correct error</w:t>
            </w:r>
            <w:r w:rsidR="0041575F">
              <w:t>s</w:t>
            </w:r>
            <w:r w:rsidRPr="00DB7959">
              <w:t xml:space="preserve"> arising out of an amendment of an instrument</w:t>
            </w:r>
          </w:p>
        </w:tc>
        <w:tc>
          <w:tcPr>
            <w:tcW w:w="1660" w:type="dxa"/>
            <w:tcBorders>
              <w:top w:val="single" w:sz="2" w:space="0" w:color="auto"/>
              <w:bottom w:val="single" w:sz="2" w:space="0" w:color="auto"/>
            </w:tcBorders>
            <w:shd w:val="clear" w:color="auto" w:fill="auto"/>
          </w:tcPr>
          <w:p w:rsidR="00CA710C" w:rsidRDefault="00F9365E" w:rsidP="00287088">
            <w:pPr>
              <w:pStyle w:val="Tabletext"/>
            </w:pPr>
            <w:r>
              <w:t>1</w:t>
            </w:r>
          </w:p>
        </w:tc>
      </w:tr>
      <w:tr w:rsidR="008A4DD7" w:rsidRPr="005A55CD" w:rsidTr="002C685B">
        <w:tc>
          <w:tcPr>
            <w:tcW w:w="714" w:type="dxa"/>
            <w:tcBorders>
              <w:top w:val="single" w:sz="2" w:space="0" w:color="auto"/>
              <w:bottom w:val="single" w:sz="2" w:space="0" w:color="auto"/>
            </w:tcBorders>
            <w:shd w:val="clear" w:color="auto" w:fill="auto"/>
          </w:tcPr>
          <w:p w:rsidR="008A4DD7" w:rsidRDefault="002F075C" w:rsidP="00287088">
            <w:pPr>
              <w:pStyle w:val="Tabletext"/>
            </w:pPr>
            <w:r>
              <w:t>6</w:t>
            </w:r>
          </w:p>
        </w:tc>
        <w:tc>
          <w:tcPr>
            <w:tcW w:w="6652" w:type="dxa"/>
            <w:tcBorders>
              <w:top w:val="single" w:sz="2" w:space="0" w:color="auto"/>
              <w:bottom w:val="single" w:sz="2" w:space="0" w:color="auto"/>
            </w:tcBorders>
            <w:shd w:val="clear" w:color="auto" w:fill="auto"/>
          </w:tcPr>
          <w:p w:rsidR="008A4DD7" w:rsidRPr="00DB7959" w:rsidRDefault="008A4DD7" w:rsidP="00287088">
            <w:pPr>
              <w:pStyle w:val="Tabletext"/>
            </w:pPr>
            <w:r w:rsidRPr="005A55CD">
              <w:t>Correct typographical errors</w:t>
            </w:r>
          </w:p>
        </w:tc>
        <w:tc>
          <w:tcPr>
            <w:tcW w:w="1660" w:type="dxa"/>
            <w:tcBorders>
              <w:top w:val="single" w:sz="2" w:space="0" w:color="auto"/>
              <w:bottom w:val="single" w:sz="2" w:space="0" w:color="auto"/>
            </w:tcBorders>
            <w:shd w:val="clear" w:color="auto" w:fill="auto"/>
          </w:tcPr>
          <w:p w:rsidR="008A4DD7" w:rsidRDefault="00C0795B" w:rsidP="00287088">
            <w:pPr>
              <w:pStyle w:val="Tabletext"/>
            </w:pPr>
            <w:r>
              <w:t>3</w:t>
            </w:r>
          </w:p>
        </w:tc>
      </w:tr>
      <w:tr w:rsidR="00287088" w:rsidRPr="005A55CD" w:rsidTr="002C685B">
        <w:tc>
          <w:tcPr>
            <w:tcW w:w="714" w:type="dxa"/>
            <w:tcBorders>
              <w:top w:val="single" w:sz="2" w:space="0" w:color="auto"/>
              <w:bottom w:val="single" w:sz="2" w:space="0" w:color="auto"/>
            </w:tcBorders>
            <w:shd w:val="clear" w:color="auto" w:fill="auto"/>
          </w:tcPr>
          <w:p w:rsidR="00287088" w:rsidRDefault="002F075C" w:rsidP="00287088">
            <w:pPr>
              <w:pStyle w:val="Tabletext"/>
            </w:pPr>
            <w:r>
              <w:t>7</w:t>
            </w:r>
          </w:p>
        </w:tc>
        <w:tc>
          <w:tcPr>
            <w:tcW w:w="6652" w:type="dxa"/>
            <w:tcBorders>
              <w:top w:val="single" w:sz="2" w:space="0" w:color="auto"/>
              <w:bottom w:val="single" w:sz="2" w:space="0" w:color="auto"/>
            </w:tcBorders>
            <w:shd w:val="clear" w:color="auto" w:fill="auto"/>
          </w:tcPr>
          <w:p w:rsidR="00287088" w:rsidRDefault="00287088" w:rsidP="00287088">
            <w:pPr>
              <w:pStyle w:val="Tabletext"/>
            </w:pPr>
            <w:r w:rsidRPr="00024EE9">
              <w:t>Give effect to the misdescribed amendment</w:t>
            </w:r>
            <w:r>
              <w:t>s</w:t>
            </w:r>
            <w:r w:rsidRPr="00024EE9">
              <w:t xml:space="preserve"> as intended</w:t>
            </w:r>
          </w:p>
        </w:tc>
        <w:tc>
          <w:tcPr>
            <w:tcW w:w="1660" w:type="dxa"/>
            <w:tcBorders>
              <w:top w:val="single" w:sz="2" w:space="0" w:color="auto"/>
              <w:bottom w:val="single" w:sz="2" w:space="0" w:color="auto"/>
            </w:tcBorders>
            <w:shd w:val="clear" w:color="auto" w:fill="auto"/>
          </w:tcPr>
          <w:p w:rsidR="00287088" w:rsidRDefault="001A7B4E" w:rsidP="00287088">
            <w:pPr>
              <w:pStyle w:val="Tabletext"/>
            </w:pPr>
            <w:r>
              <w:t>31</w:t>
            </w:r>
          </w:p>
        </w:tc>
      </w:tr>
      <w:tr w:rsidR="00287088" w:rsidRPr="005A55CD" w:rsidTr="002C685B">
        <w:tc>
          <w:tcPr>
            <w:tcW w:w="714" w:type="dxa"/>
            <w:tcBorders>
              <w:top w:val="single" w:sz="2" w:space="0" w:color="auto"/>
              <w:bottom w:val="single" w:sz="2" w:space="0" w:color="auto"/>
            </w:tcBorders>
            <w:shd w:val="clear" w:color="auto" w:fill="auto"/>
          </w:tcPr>
          <w:p w:rsidR="00287088" w:rsidRDefault="002F075C" w:rsidP="00287088">
            <w:pPr>
              <w:pStyle w:val="Tabletext"/>
            </w:pPr>
            <w:r>
              <w:t>8</w:t>
            </w:r>
          </w:p>
        </w:tc>
        <w:tc>
          <w:tcPr>
            <w:tcW w:w="6652" w:type="dxa"/>
            <w:tcBorders>
              <w:top w:val="single" w:sz="2" w:space="0" w:color="auto"/>
              <w:bottom w:val="single" w:sz="2" w:space="0" w:color="auto"/>
            </w:tcBorders>
            <w:shd w:val="clear" w:color="auto" w:fill="auto"/>
          </w:tcPr>
          <w:p w:rsidR="00287088" w:rsidRDefault="00287088" w:rsidP="00287088">
            <w:pPr>
              <w:pStyle w:val="Tabletext"/>
            </w:pPr>
            <w:r w:rsidRPr="00C0272E">
              <w:t>Numbering or renumbering of provisions</w:t>
            </w:r>
          </w:p>
        </w:tc>
        <w:tc>
          <w:tcPr>
            <w:tcW w:w="1660" w:type="dxa"/>
            <w:tcBorders>
              <w:top w:val="single" w:sz="2" w:space="0" w:color="auto"/>
              <w:bottom w:val="single" w:sz="2" w:space="0" w:color="auto"/>
            </w:tcBorders>
            <w:shd w:val="clear" w:color="auto" w:fill="auto"/>
          </w:tcPr>
          <w:p w:rsidR="00287088" w:rsidRDefault="00D04AEC" w:rsidP="00287088">
            <w:pPr>
              <w:pStyle w:val="Tabletext"/>
            </w:pPr>
            <w:r>
              <w:t>5</w:t>
            </w:r>
          </w:p>
        </w:tc>
      </w:tr>
      <w:tr w:rsidR="00E159CD" w:rsidRPr="005A55CD" w:rsidTr="002C685B">
        <w:tc>
          <w:tcPr>
            <w:tcW w:w="714" w:type="dxa"/>
            <w:tcBorders>
              <w:top w:val="single" w:sz="2" w:space="0" w:color="auto"/>
              <w:bottom w:val="single" w:sz="2" w:space="0" w:color="auto"/>
            </w:tcBorders>
            <w:shd w:val="clear" w:color="auto" w:fill="auto"/>
          </w:tcPr>
          <w:p w:rsidR="00E159CD" w:rsidRDefault="002F075C" w:rsidP="00287088">
            <w:pPr>
              <w:pStyle w:val="Tabletext"/>
            </w:pPr>
            <w:r>
              <w:t>9</w:t>
            </w:r>
          </w:p>
        </w:tc>
        <w:tc>
          <w:tcPr>
            <w:tcW w:w="6652" w:type="dxa"/>
            <w:tcBorders>
              <w:top w:val="single" w:sz="2" w:space="0" w:color="auto"/>
              <w:bottom w:val="single" w:sz="2" w:space="0" w:color="auto"/>
            </w:tcBorders>
            <w:shd w:val="clear" w:color="auto" w:fill="auto"/>
          </w:tcPr>
          <w:p w:rsidR="00E159CD" w:rsidRPr="00C0272E" w:rsidRDefault="00E159CD" w:rsidP="00287088">
            <w:pPr>
              <w:pStyle w:val="Tabletext"/>
            </w:pPr>
            <w:r>
              <w:t>Removal of redundant text</w:t>
            </w:r>
          </w:p>
        </w:tc>
        <w:tc>
          <w:tcPr>
            <w:tcW w:w="1660" w:type="dxa"/>
            <w:tcBorders>
              <w:top w:val="single" w:sz="2" w:space="0" w:color="auto"/>
              <w:bottom w:val="single" w:sz="2" w:space="0" w:color="auto"/>
            </w:tcBorders>
            <w:shd w:val="clear" w:color="auto" w:fill="auto"/>
          </w:tcPr>
          <w:p w:rsidR="00E159CD" w:rsidRDefault="00353E8F" w:rsidP="00287088">
            <w:pPr>
              <w:pStyle w:val="Tabletext"/>
            </w:pPr>
            <w:r>
              <w:t>3</w:t>
            </w:r>
          </w:p>
        </w:tc>
      </w:tr>
      <w:tr w:rsidR="00287088" w:rsidRPr="005A55CD" w:rsidTr="002C685B">
        <w:tc>
          <w:tcPr>
            <w:tcW w:w="714" w:type="dxa"/>
            <w:tcBorders>
              <w:top w:val="single" w:sz="2" w:space="0" w:color="auto"/>
              <w:bottom w:val="single" w:sz="2" w:space="0" w:color="auto"/>
            </w:tcBorders>
            <w:shd w:val="clear" w:color="auto" w:fill="auto"/>
          </w:tcPr>
          <w:p w:rsidR="00287088" w:rsidRDefault="002F075C" w:rsidP="00287088">
            <w:pPr>
              <w:pStyle w:val="Tabletext"/>
            </w:pPr>
            <w:r>
              <w:t>10</w:t>
            </w:r>
          </w:p>
        </w:tc>
        <w:tc>
          <w:tcPr>
            <w:tcW w:w="6652" w:type="dxa"/>
            <w:tcBorders>
              <w:top w:val="single" w:sz="2" w:space="0" w:color="auto"/>
              <w:bottom w:val="single" w:sz="2" w:space="0" w:color="auto"/>
            </w:tcBorders>
            <w:shd w:val="clear" w:color="auto" w:fill="auto"/>
          </w:tcPr>
          <w:p w:rsidR="00287088" w:rsidRPr="00C0272E" w:rsidRDefault="00287088" w:rsidP="00287088">
            <w:pPr>
              <w:pStyle w:val="Tabletext"/>
            </w:pPr>
            <w:r w:rsidRPr="009B6249">
              <w:t>Reordering of definitions</w:t>
            </w:r>
          </w:p>
        </w:tc>
        <w:tc>
          <w:tcPr>
            <w:tcW w:w="1660" w:type="dxa"/>
            <w:tcBorders>
              <w:top w:val="single" w:sz="2" w:space="0" w:color="auto"/>
              <w:bottom w:val="single" w:sz="2" w:space="0" w:color="auto"/>
            </w:tcBorders>
            <w:shd w:val="clear" w:color="auto" w:fill="auto"/>
          </w:tcPr>
          <w:p w:rsidR="00287088" w:rsidRDefault="00B1257F" w:rsidP="00287088">
            <w:pPr>
              <w:pStyle w:val="Tabletext"/>
            </w:pPr>
            <w:r>
              <w:t>8</w:t>
            </w:r>
          </w:p>
        </w:tc>
      </w:tr>
      <w:tr w:rsidR="00287088" w:rsidRPr="005A55CD" w:rsidTr="00D04AEC">
        <w:tc>
          <w:tcPr>
            <w:tcW w:w="714" w:type="dxa"/>
            <w:tcBorders>
              <w:top w:val="single" w:sz="2" w:space="0" w:color="auto"/>
              <w:bottom w:val="single" w:sz="2" w:space="0" w:color="auto"/>
            </w:tcBorders>
            <w:shd w:val="clear" w:color="auto" w:fill="auto"/>
          </w:tcPr>
          <w:p w:rsidR="00287088" w:rsidRDefault="00E41C01" w:rsidP="00287088">
            <w:pPr>
              <w:pStyle w:val="Tabletext"/>
            </w:pPr>
            <w:r>
              <w:t>1</w:t>
            </w:r>
            <w:r w:rsidR="002F075C">
              <w:t>1</w:t>
            </w:r>
          </w:p>
        </w:tc>
        <w:tc>
          <w:tcPr>
            <w:tcW w:w="6652" w:type="dxa"/>
            <w:tcBorders>
              <w:top w:val="single" w:sz="2" w:space="0" w:color="auto"/>
              <w:bottom w:val="single" w:sz="2" w:space="0" w:color="auto"/>
            </w:tcBorders>
            <w:shd w:val="clear" w:color="auto" w:fill="auto"/>
          </w:tcPr>
          <w:p w:rsidR="00287088" w:rsidRPr="00C0272E" w:rsidRDefault="00287088" w:rsidP="00287088">
            <w:pPr>
              <w:pStyle w:val="Tabletext"/>
            </w:pPr>
            <w:r w:rsidRPr="00371E4F">
              <w:t>Reordering of provisions</w:t>
            </w:r>
          </w:p>
        </w:tc>
        <w:tc>
          <w:tcPr>
            <w:tcW w:w="1660" w:type="dxa"/>
            <w:tcBorders>
              <w:top w:val="single" w:sz="2" w:space="0" w:color="auto"/>
              <w:bottom w:val="single" w:sz="2" w:space="0" w:color="auto"/>
            </w:tcBorders>
            <w:shd w:val="clear" w:color="auto" w:fill="auto"/>
          </w:tcPr>
          <w:p w:rsidR="00287088" w:rsidRDefault="00C07690" w:rsidP="00287088">
            <w:pPr>
              <w:pStyle w:val="Tabletext"/>
            </w:pPr>
            <w:r>
              <w:t>2</w:t>
            </w:r>
          </w:p>
        </w:tc>
      </w:tr>
      <w:tr w:rsidR="00D04AEC" w:rsidRPr="005A55CD" w:rsidTr="002C685B">
        <w:tc>
          <w:tcPr>
            <w:tcW w:w="714" w:type="dxa"/>
            <w:tcBorders>
              <w:top w:val="single" w:sz="2" w:space="0" w:color="auto"/>
              <w:bottom w:val="single" w:sz="12" w:space="0" w:color="auto"/>
            </w:tcBorders>
            <w:shd w:val="clear" w:color="auto" w:fill="auto"/>
          </w:tcPr>
          <w:p w:rsidR="00D04AEC" w:rsidRDefault="00D04AEC" w:rsidP="00287088">
            <w:pPr>
              <w:pStyle w:val="Tabletext"/>
            </w:pPr>
            <w:r>
              <w:t>1</w:t>
            </w:r>
            <w:r w:rsidR="002F075C">
              <w:t>2</w:t>
            </w:r>
          </w:p>
        </w:tc>
        <w:tc>
          <w:tcPr>
            <w:tcW w:w="6652" w:type="dxa"/>
            <w:tcBorders>
              <w:top w:val="single" w:sz="2" w:space="0" w:color="auto"/>
              <w:bottom w:val="single" w:sz="12" w:space="0" w:color="auto"/>
            </w:tcBorders>
            <w:shd w:val="clear" w:color="auto" w:fill="auto"/>
          </w:tcPr>
          <w:p w:rsidR="00D04AEC" w:rsidRPr="00371E4F" w:rsidRDefault="00D04AEC" w:rsidP="00287088">
            <w:pPr>
              <w:pStyle w:val="Tabletext"/>
            </w:pPr>
            <w:r>
              <w:t>Updates to cross</w:t>
            </w:r>
            <w:r>
              <w:noBreakHyphen/>
              <w:t>references</w:t>
            </w:r>
          </w:p>
        </w:tc>
        <w:tc>
          <w:tcPr>
            <w:tcW w:w="1660" w:type="dxa"/>
            <w:tcBorders>
              <w:top w:val="single" w:sz="2" w:space="0" w:color="auto"/>
              <w:bottom w:val="single" w:sz="12" w:space="0" w:color="auto"/>
            </w:tcBorders>
            <w:shd w:val="clear" w:color="auto" w:fill="auto"/>
          </w:tcPr>
          <w:p w:rsidR="00D04AEC" w:rsidRDefault="00D04AEC" w:rsidP="00287088">
            <w:pPr>
              <w:pStyle w:val="Tabletext"/>
            </w:pPr>
            <w:r>
              <w:t>1</w:t>
            </w:r>
          </w:p>
        </w:tc>
      </w:tr>
    </w:tbl>
    <w:p w:rsidR="00C1453D" w:rsidRPr="005A55CD" w:rsidRDefault="00C1453D" w:rsidP="00C1453D">
      <w:pPr>
        <w:pStyle w:val="Tabletext"/>
      </w:pPr>
    </w:p>
    <w:p w:rsidR="00C1453D" w:rsidRPr="005A55CD" w:rsidRDefault="00C1453D" w:rsidP="00C1453D">
      <w:pPr>
        <w:pStyle w:val="BodyNum"/>
      </w:pPr>
      <w:r w:rsidRPr="005A55CD">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Pr="005A55CD" w:rsidRDefault="00C1453D" w:rsidP="00C1453D">
      <w:pPr>
        <w:pStyle w:val="BodyNum"/>
      </w:pPr>
      <w:r w:rsidRPr="005A55CD">
        <w:t>Complete details of each use of the power within a compilation appears below:</w:t>
      </w:r>
    </w:p>
    <w:p w:rsidR="005A3704" w:rsidRPr="00BE5F99" w:rsidRDefault="005A3704" w:rsidP="005A3704">
      <w:pPr>
        <w:pStyle w:val="Head2"/>
        <w:keepLines/>
        <w:spacing w:after="240"/>
      </w:pPr>
      <w:bookmarkStart w:id="1" w:name="_Hlk142572994"/>
      <w:bookmarkStart w:id="2" w:name="_Hlk112413228"/>
      <w:bookmarkStart w:id="3" w:name="_Hlk77771523"/>
      <w:bookmarkStart w:id="4" w:name="_Hlk117851081"/>
      <w:bookmarkStart w:id="5" w:name="_Hlk115097349"/>
      <w:bookmarkStart w:id="6" w:name="_Hlk115164529"/>
      <w:bookmarkStart w:id="7" w:name="_Hlk87971872"/>
      <w:bookmarkStart w:id="8" w:name="_Hlk111628764"/>
      <w:bookmarkStart w:id="9" w:name="_Hlk109895787"/>
      <w:bookmarkStart w:id="10" w:name="_Hlk100752153"/>
      <w:bookmarkStart w:id="11" w:name="_Hlk98834175"/>
      <w:bookmarkStart w:id="12" w:name="_Hlk95228066"/>
      <w:bookmarkStart w:id="13" w:name="_Hlk88214706"/>
      <w:bookmarkStart w:id="14" w:name="_Hlk88059733"/>
      <w:bookmarkStart w:id="15" w:name="_Hlk87973336"/>
      <w:bookmarkStart w:id="16" w:name="_Hlk86239383"/>
      <w:bookmarkStart w:id="17" w:name="_Hlk85202742"/>
      <w:bookmarkStart w:id="18" w:name="_Hlk83806415"/>
      <w:bookmarkStart w:id="19" w:name="_Hlk78211436"/>
      <w:bookmarkStart w:id="20" w:name="_Hlk78982182"/>
      <w:bookmarkStart w:id="21" w:name="_Toc159817352"/>
      <w:bookmarkStart w:id="22" w:name="_Toc151439511"/>
      <w:bookmarkStart w:id="23" w:name="_Toc151265172"/>
      <w:bookmarkStart w:id="24" w:name="_Toc101876442"/>
      <w:bookmarkStart w:id="25" w:name="_Toc101844710"/>
      <w:bookmarkStart w:id="26" w:name="_Toc101772215"/>
      <w:bookmarkStart w:id="27" w:name="_Toc101684071"/>
      <w:bookmarkStart w:id="28" w:name="_Toc101683873"/>
      <w:bookmarkStart w:id="29" w:name="_Toc101683529"/>
      <w:bookmarkStart w:id="30" w:name="_Toc101349090"/>
      <w:bookmarkStart w:id="31" w:name="_Toc206912603"/>
      <w:bookmarkStart w:id="32" w:name="_Toc206912689"/>
      <w:bookmarkStart w:id="33" w:name="CITATION"/>
      <w:r w:rsidRPr="002F5832">
        <w:t>National Greenhouse and Energy Reporting (Safeguard Mechanism) Rule 2015</w:t>
      </w:r>
      <w:r>
        <w:t>, Compilation No. 12, Registration Date: 13 May 202</w:t>
      </w:r>
      <w:r w:rsidRPr="00BE5F99">
        <w:t>4 [</w:t>
      </w:r>
      <w:r w:rsidRPr="005A3704">
        <w:t>F2024C00433</w:t>
      </w:r>
      <w:r w:rsidRPr="00BE5F99">
        <w:t>]</w:t>
      </w:r>
    </w:p>
    <w:p w:rsidR="001A7B4E" w:rsidRPr="002F5832" w:rsidRDefault="001A7B4E" w:rsidP="001A7B4E">
      <w:pPr>
        <w:spacing w:after="240"/>
        <w:rPr>
          <w:b/>
          <w:sz w:val="24"/>
          <w:szCs w:val="24"/>
        </w:rPr>
      </w:pPr>
      <w:r w:rsidRPr="002F5832">
        <w:rPr>
          <w:b/>
          <w:sz w:val="24"/>
          <w:szCs w:val="24"/>
        </w:rPr>
        <w:t>Paragraph 24(1)(e) of Schedule 1</w:t>
      </w:r>
    </w:p>
    <w:p w:rsidR="001A7B4E" w:rsidRPr="002F5832" w:rsidRDefault="001A7B4E" w:rsidP="001A7B4E">
      <w:pPr>
        <w:spacing w:after="240"/>
        <w:rPr>
          <w:b/>
        </w:rPr>
      </w:pPr>
      <w:r w:rsidRPr="002F5832">
        <w:rPr>
          <w:b/>
        </w:rPr>
        <w:t>Kind of editorial change</w:t>
      </w:r>
    </w:p>
    <w:p w:rsidR="001A7B4E" w:rsidRPr="002F5832" w:rsidRDefault="001A7B4E" w:rsidP="001A7B4E">
      <w:pPr>
        <w:spacing w:after="240"/>
      </w:pPr>
      <w:r w:rsidRPr="002F5832">
        <w:rPr>
          <w:color w:val="000000"/>
          <w:szCs w:val="22"/>
        </w:rPr>
        <w:t>Give effect to the misdescribed amendment as intended</w:t>
      </w:r>
    </w:p>
    <w:p w:rsidR="001A7B4E" w:rsidRPr="002F5832" w:rsidRDefault="001A7B4E" w:rsidP="001A7B4E">
      <w:pPr>
        <w:spacing w:after="240"/>
        <w:rPr>
          <w:b/>
        </w:rPr>
      </w:pPr>
      <w:r w:rsidRPr="002F5832">
        <w:rPr>
          <w:b/>
        </w:rPr>
        <w:t>Details of editorial change</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lastRenderedPageBreak/>
        <w:t xml:space="preserve">Schedule 1 item 26 of the </w:t>
      </w:r>
      <w:r w:rsidRPr="002F5832">
        <w:rPr>
          <w:i/>
          <w:iCs/>
        </w:rPr>
        <w:t>National Greenhouse and Energy Reporting (Safeguard Mechanism) Amendment (Production Variables Update) Rules</w:t>
      </w:r>
      <w:r w:rsidRPr="002F5832">
        <w:rPr>
          <w:rFonts w:eastAsia="Times New Roman" w:cs="Times New Roman"/>
          <w:i/>
          <w:color w:val="000000"/>
          <w:szCs w:val="22"/>
          <w:lang w:eastAsia="en-AU"/>
        </w:rPr>
        <w:t> </w:t>
      </w:r>
      <w:r w:rsidRPr="002F5832">
        <w:rPr>
          <w:i/>
          <w:iCs/>
        </w:rPr>
        <w:t>2024</w:t>
      </w:r>
      <w:r w:rsidRPr="002F5832">
        <w:rPr>
          <w:rFonts w:eastAsia="Times New Roman" w:cs="Times New Roman"/>
          <w:color w:val="000000"/>
          <w:szCs w:val="22"/>
          <w:lang w:eastAsia="en-AU"/>
        </w:rPr>
        <w:t xml:space="preserve"> instructs to repeal and substitute paragraph 24(1)(e).</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Paragraph 24(1)(e) does not appear. However, paragraph 24(1)(e) of Schedule 1 does appear.</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 xml:space="preserve">This compilation was editorially changed to repeal and substitute paragraph 24(1)(e) of Schedule 1 </w:t>
      </w:r>
      <w:r>
        <w:rPr>
          <w:rFonts w:eastAsia="Times New Roman" w:cs="Times New Roman"/>
          <w:color w:val="000000"/>
          <w:szCs w:val="22"/>
          <w:lang w:eastAsia="en-AU"/>
        </w:rPr>
        <w:t xml:space="preserve">to </w:t>
      </w:r>
      <w:r w:rsidRPr="002F5832">
        <w:rPr>
          <w:rFonts w:eastAsia="Times New Roman" w:cs="Times New Roman"/>
          <w:color w:val="000000"/>
          <w:szCs w:val="22"/>
          <w:lang w:eastAsia="en-AU"/>
        </w:rPr>
        <w:t>give effect to the misdescribed amendment as intended.</w:t>
      </w:r>
    </w:p>
    <w:p w:rsidR="001A7B4E" w:rsidRPr="002F5832" w:rsidRDefault="001A7B4E" w:rsidP="001A7B4E">
      <w:pPr>
        <w:spacing w:after="240" w:line="240" w:lineRule="auto"/>
        <w:rPr>
          <w:b/>
          <w:sz w:val="24"/>
          <w:szCs w:val="24"/>
        </w:rPr>
      </w:pPr>
      <w:r w:rsidRPr="002F5832">
        <w:rPr>
          <w:b/>
          <w:sz w:val="24"/>
          <w:szCs w:val="24"/>
        </w:rPr>
        <w:t>Section 33 of Schedule 1</w:t>
      </w:r>
    </w:p>
    <w:p w:rsidR="001A7B4E" w:rsidRPr="002F5832" w:rsidRDefault="001A7B4E" w:rsidP="001A7B4E">
      <w:pPr>
        <w:spacing w:after="240"/>
        <w:rPr>
          <w:b/>
        </w:rPr>
      </w:pPr>
      <w:r w:rsidRPr="002F5832">
        <w:rPr>
          <w:b/>
        </w:rPr>
        <w:t>Kind of editorial change</w:t>
      </w:r>
    </w:p>
    <w:p w:rsidR="001A7B4E" w:rsidRPr="002F5832" w:rsidRDefault="001A7B4E" w:rsidP="001A7B4E">
      <w:pPr>
        <w:spacing w:after="240"/>
      </w:pPr>
      <w:r w:rsidRPr="002F5832">
        <w:rPr>
          <w:color w:val="000000"/>
          <w:szCs w:val="22"/>
        </w:rPr>
        <w:t>Give effect to the misdescribed amendment as intended</w:t>
      </w:r>
    </w:p>
    <w:p w:rsidR="001A7B4E" w:rsidRPr="002F5832" w:rsidRDefault="001A7B4E" w:rsidP="001A7B4E">
      <w:pPr>
        <w:spacing w:after="240"/>
        <w:rPr>
          <w:b/>
        </w:rPr>
      </w:pPr>
      <w:r w:rsidRPr="002F5832">
        <w:rPr>
          <w:b/>
        </w:rPr>
        <w:t>Details of editorial change</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 xml:space="preserve">Schedule 1 item 32 of the </w:t>
      </w:r>
      <w:bookmarkStart w:id="34" w:name="_Hlk150930789"/>
      <w:r w:rsidRPr="002F5832">
        <w:rPr>
          <w:i/>
          <w:iCs/>
        </w:rPr>
        <w:t>National Greenhouse and Energy Reporting (Safeguard Mechanism) Amendment (Production Variables Update) Rules</w:t>
      </w:r>
      <w:r w:rsidRPr="002F5832">
        <w:rPr>
          <w:rFonts w:eastAsia="Times New Roman" w:cs="Times New Roman"/>
          <w:i/>
          <w:color w:val="000000"/>
          <w:szCs w:val="22"/>
          <w:lang w:eastAsia="en-AU"/>
        </w:rPr>
        <w:t> </w:t>
      </w:r>
      <w:r w:rsidRPr="002F5832">
        <w:rPr>
          <w:i/>
          <w:iCs/>
        </w:rPr>
        <w:t>2024</w:t>
      </w:r>
      <w:bookmarkEnd w:id="34"/>
      <w:r w:rsidRPr="002F5832">
        <w:rPr>
          <w:rFonts w:eastAsia="Times New Roman" w:cs="Times New Roman"/>
          <w:color w:val="000000"/>
          <w:szCs w:val="22"/>
          <w:lang w:eastAsia="en-AU"/>
        </w:rPr>
        <w:t xml:space="preserve"> instructs to repeal and substitute section 33 of Schedule 1.</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This amendment repeals the section heading but does not replace it.</w:t>
      </w:r>
    </w:p>
    <w:p w:rsidR="001A7B4E" w:rsidRPr="002F5832" w:rsidRDefault="001A7B4E" w:rsidP="001A7B4E">
      <w:pPr>
        <w:spacing w:after="240" w:line="240" w:lineRule="auto"/>
      </w:pPr>
      <w:r w:rsidRPr="002F5832">
        <w:rPr>
          <w:rFonts w:eastAsia="Times New Roman" w:cs="Times New Roman"/>
          <w:color w:val="000000"/>
          <w:szCs w:val="22"/>
          <w:lang w:eastAsia="en-AU"/>
        </w:rPr>
        <w:t>This compilation was editorially changed to reinsert the heading to section 33 of Schedule 1 and give effect to the misdescribed amendment as intended.</w:t>
      </w:r>
    </w:p>
    <w:p w:rsidR="001A7B4E" w:rsidRPr="002F5832" w:rsidRDefault="001A7B4E" w:rsidP="001A7B4E">
      <w:pPr>
        <w:spacing w:after="240"/>
        <w:rPr>
          <w:b/>
          <w:sz w:val="24"/>
          <w:szCs w:val="24"/>
        </w:rPr>
      </w:pPr>
      <w:r w:rsidRPr="002F5832">
        <w:rPr>
          <w:b/>
          <w:sz w:val="24"/>
          <w:szCs w:val="24"/>
        </w:rPr>
        <w:t>Division 9 of Part 20 of Schedule 1 (heading)</w:t>
      </w:r>
    </w:p>
    <w:p w:rsidR="001A7B4E" w:rsidRPr="002F5832" w:rsidRDefault="001A7B4E" w:rsidP="001A7B4E">
      <w:pPr>
        <w:spacing w:after="240"/>
        <w:rPr>
          <w:b/>
        </w:rPr>
      </w:pPr>
      <w:r w:rsidRPr="002F5832">
        <w:rPr>
          <w:b/>
        </w:rPr>
        <w:t>Kind of editorial change</w:t>
      </w:r>
    </w:p>
    <w:p w:rsidR="001A7B4E" w:rsidRPr="002F5832" w:rsidRDefault="001A7B4E" w:rsidP="001A7B4E">
      <w:pPr>
        <w:spacing w:after="240"/>
      </w:pPr>
      <w:r w:rsidRPr="002F5832">
        <w:rPr>
          <w:color w:val="000000"/>
          <w:szCs w:val="22"/>
        </w:rPr>
        <w:t>Give effect to the misdescribed amendment as intended</w:t>
      </w:r>
    </w:p>
    <w:p w:rsidR="001A7B4E" w:rsidRPr="002F5832" w:rsidRDefault="001A7B4E" w:rsidP="001A7B4E">
      <w:pPr>
        <w:spacing w:after="240"/>
        <w:rPr>
          <w:b/>
        </w:rPr>
      </w:pPr>
      <w:r w:rsidRPr="002F5832">
        <w:rPr>
          <w:b/>
        </w:rPr>
        <w:t>Details of editorial change</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 xml:space="preserve">Schedule 1 item 46 of the </w:t>
      </w:r>
      <w:r w:rsidRPr="002F5832">
        <w:rPr>
          <w:i/>
          <w:iCs/>
        </w:rPr>
        <w:t>National Greenhouse and Energy Reporting (Safeguard Mechanism) Amendment (Production Variables Update) Rules</w:t>
      </w:r>
      <w:r w:rsidRPr="002F5832">
        <w:rPr>
          <w:rFonts w:eastAsia="Times New Roman" w:cs="Times New Roman"/>
          <w:i/>
          <w:color w:val="000000"/>
          <w:szCs w:val="22"/>
          <w:lang w:eastAsia="en-AU"/>
        </w:rPr>
        <w:t> </w:t>
      </w:r>
      <w:r w:rsidRPr="002F5832">
        <w:rPr>
          <w:i/>
          <w:iCs/>
        </w:rPr>
        <w:t>2024</w:t>
      </w:r>
      <w:r w:rsidRPr="002F5832">
        <w:rPr>
          <w:rFonts w:eastAsia="Times New Roman" w:cs="Times New Roman"/>
          <w:color w:val="000000"/>
          <w:szCs w:val="22"/>
          <w:lang w:eastAsia="en-AU"/>
        </w:rPr>
        <w:t xml:space="preserve"> provides as follows:</w:t>
      </w:r>
    </w:p>
    <w:p w:rsidR="001A7B4E" w:rsidRPr="002F5832" w:rsidRDefault="001A7B4E" w:rsidP="001A7B4E">
      <w:pPr>
        <w:pStyle w:val="ItemHead"/>
      </w:pPr>
      <w:bookmarkStart w:id="35" w:name="_Hlk166060342"/>
      <w:r w:rsidRPr="002F5832">
        <w:t>46  Division 9 of Part 20 of Schedule 1 (heading)</w:t>
      </w:r>
    </w:p>
    <w:p w:rsidR="001A7B4E" w:rsidRPr="002F5832" w:rsidRDefault="001A7B4E" w:rsidP="001A7B4E">
      <w:pPr>
        <w:keepLines/>
        <w:spacing w:before="80" w:after="240"/>
        <w:ind w:left="709"/>
      </w:pPr>
      <w:r w:rsidRPr="002F5832">
        <w:t>Omit “products”.</w:t>
      </w:r>
    </w:p>
    <w:bookmarkEnd w:id="35"/>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The word “products” appears twice in the heading to Division 9 of Part 20 of Schedule 1.</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This compilation was editorially changed to omit “products” (second occurring) from the heading to Division 9 of Part 20 of Schedule 1 to give effect to the misdescribed amendment as intended.</w:t>
      </w:r>
    </w:p>
    <w:p w:rsidR="001A7B4E" w:rsidRPr="002F5832" w:rsidRDefault="001A7B4E" w:rsidP="001A7B4E">
      <w:pPr>
        <w:spacing w:after="240"/>
        <w:rPr>
          <w:b/>
          <w:sz w:val="24"/>
          <w:szCs w:val="24"/>
        </w:rPr>
      </w:pPr>
      <w:r w:rsidRPr="002F5832">
        <w:rPr>
          <w:b/>
          <w:sz w:val="24"/>
          <w:szCs w:val="24"/>
        </w:rPr>
        <w:t>Paragraph 97(4)(b) of Schedule 1</w:t>
      </w:r>
    </w:p>
    <w:p w:rsidR="001A7B4E" w:rsidRPr="002F5832" w:rsidRDefault="001A7B4E" w:rsidP="001A7B4E">
      <w:pPr>
        <w:spacing w:after="240"/>
        <w:rPr>
          <w:b/>
        </w:rPr>
      </w:pPr>
      <w:r w:rsidRPr="002F5832">
        <w:rPr>
          <w:b/>
        </w:rPr>
        <w:t>Kind of editorial change</w:t>
      </w:r>
    </w:p>
    <w:p w:rsidR="001A7B4E" w:rsidRPr="002F5832" w:rsidRDefault="001A7B4E" w:rsidP="001A7B4E">
      <w:pPr>
        <w:spacing w:after="240"/>
      </w:pPr>
      <w:r w:rsidRPr="002F5832">
        <w:rPr>
          <w:color w:val="000000"/>
          <w:szCs w:val="22"/>
        </w:rPr>
        <w:t>Give effect to the misdescribed amendment as intended</w:t>
      </w:r>
    </w:p>
    <w:p w:rsidR="001A7B4E" w:rsidRPr="002F5832" w:rsidRDefault="001A7B4E" w:rsidP="001A7B4E">
      <w:pPr>
        <w:spacing w:after="240"/>
        <w:rPr>
          <w:b/>
        </w:rPr>
      </w:pPr>
      <w:r w:rsidRPr="002F5832">
        <w:rPr>
          <w:b/>
        </w:rPr>
        <w:t>Details of editorial change</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 xml:space="preserve">Schedule 1 item 68 of the </w:t>
      </w:r>
      <w:r w:rsidRPr="002F5832">
        <w:rPr>
          <w:i/>
          <w:iCs/>
        </w:rPr>
        <w:t>National Greenhouse and Energy Reporting (Safeguard Mechanism) Amendment (Production Variables Update) Rules</w:t>
      </w:r>
      <w:r w:rsidRPr="002F5832">
        <w:rPr>
          <w:rFonts w:eastAsia="Times New Roman" w:cs="Times New Roman"/>
          <w:i/>
          <w:color w:val="000000"/>
          <w:szCs w:val="22"/>
          <w:lang w:eastAsia="en-AU"/>
        </w:rPr>
        <w:t> </w:t>
      </w:r>
      <w:r w:rsidRPr="002F5832">
        <w:rPr>
          <w:i/>
          <w:iCs/>
        </w:rPr>
        <w:t>2024</w:t>
      </w:r>
      <w:r w:rsidRPr="002F5832">
        <w:rPr>
          <w:rFonts w:eastAsia="Times New Roman" w:cs="Times New Roman"/>
          <w:color w:val="000000"/>
          <w:szCs w:val="22"/>
          <w:lang w:eastAsia="en-AU"/>
        </w:rPr>
        <w:t xml:space="preserve"> instructs to omit “</w:t>
      </w:r>
      <w:r w:rsidRPr="002F5832">
        <w:rPr>
          <w:szCs w:val="22"/>
          <w:shd w:val="clear" w:color="auto" w:fill="FFFFFF"/>
        </w:rPr>
        <w:t xml:space="preserve">stabilised crude petroleum </w:t>
      </w:r>
      <w:r w:rsidRPr="002F5832">
        <w:rPr>
          <w:szCs w:val="22"/>
          <w:shd w:val="clear" w:color="auto" w:fill="FFFFFF"/>
        </w:rPr>
        <w:lastRenderedPageBreak/>
        <w:t>oil, condensate, tallow, vegetable oil and eligible feedstocks</w:t>
      </w:r>
      <w:r w:rsidRPr="002F5832">
        <w:rPr>
          <w:rFonts w:eastAsia="Times New Roman" w:cs="Times New Roman"/>
          <w:color w:val="000000"/>
          <w:szCs w:val="22"/>
          <w:lang w:eastAsia="en-AU"/>
        </w:rPr>
        <w:t>” and substitute “</w:t>
      </w:r>
      <w:r w:rsidRPr="002F5832">
        <w:rPr>
          <w:rFonts w:eastAsia="Times New Roman"/>
          <w:szCs w:val="22"/>
          <w:lang w:eastAsia="en-AU"/>
        </w:rPr>
        <w:t xml:space="preserve">stabilised crude petroleum, condensate, </w:t>
      </w:r>
      <w:r w:rsidRPr="002F5832">
        <w:rPr>
          <w:szCs w:val="22"/>
          <w:shd w:val="clear" w:color="auto" w:fill="FFFFFF"/>
        </w:rPr>
        <w:t>biogenic oils, liquid synthetic hydrocarbons, alcohol feedstocks, waste or recycled material that has undergone pyrolysis, eligible petroleum feedstocks and bio</w:t>
      </w:r>
      <w:r>
        <w:rPr>
          <w:szCs w:val="22"/>
          <w:shd w:val="clear" w:color="auto" w:fill="FFFFFF"/>
        </w:rPr>
        <w:noBreakHyphen/>
      </w:r>
      <w:r w:rsidRPr="002F5832">
        <w:rPr>
          <w:szCs w:val="22"/>
          <w:shd w:val="clear" w:color="auto" w:fill="FFFFFF"/>
        </w:rPr>
        <w:t>crude or bio</w:t>
      </w:r>
      <w:r>
        <w:rPr>
          <w:szCs w:val="22"/>
          <w:shd w:val="clear" w:color="auto" w:fill="FFFFFF"/>
        </w:rPr>
        <w:noBreakHyphen/>
      </w:r>
      <w:r w:rsidRPr="002F5832">
        <w:rPr>
          <w:szCs w:val="22"/>
          <w:shd w:val="clear" w:color="auto" w:fill="FFFFFF"/>
        </w:rPr>
        <w:t>intermediates produced from thermochemical processes</w:t>
      </w:r>
      <w:r w:rsidRPr="002F5832">
        <w:rPr>
          <w:rFonts w:eastAsia="Times New Roman" w:cs="Times New Roman"/>
          <w:color w:val="000000"/>
          <w:szCs w:val="22"/>
          <w:lang w:eastAsia="en-AU"/>
        </w:rPr>
        <w:t>” in paragraph 97(4)(b) of Schedule 1.</w:t>
      </w:r>
    </w:p>
    <w:p w:rsidR="001A7B4E" w:rsidRPr="002F5832" w:rsidRDefault="001A7B4E" w:rsidP="001A7B4E">
      <w:pPr>
        <w:spacing w:after="240" w:line="240" w:lineRule="auto"/>
        <w:rPr>
          <w:rFonts w:eastAsia="Times New Roman" w:cs="Times New Roman"/>
          <w:color w:val="000000"/>
          <w:szCs w:val="22"/>
          <w:lang w:eastAsia="en-AU"/>
        </w:rPr>
      </w:pPr>
      <w:r w:rsidRPr="002F5832">
        <w:rPr>
          <w:rFonts w:eastAsia="Times New Roman" w:cs="Times New Roman"/>
          <w:color w:val="000000"/>
          <w:szCs w:val="22"/>
          <w:lang w:eastAsia="en-AU"/>
        </w:rPr>
        <w:t>The text “</w:t>
      </w:r>
      <w:r w:rsidRPr="002F5832">
        <w:rPr>
          <w:szCs w:val="22"/>
          <w:shd w:val="clear" w:color="auto" w:fill="FFFFFF"/>
        </w:rPr>
        <w:t>stabilised crude petroleum oil, condensate, tallow, vegetable oil and eligible feedstocks</w:t>
      </w:r>
      <w:r w:rsidRPr="002F5832">
        <w:rPr>
          <w:rFonts w:eastAsia="Times New Roman" w:cs="Times New Roman"/>
          <w:color w:val="000000"/>
          <w:szCs w:val="22"/>
          <w:lang w:eastAsia="en-AU"/>
        </w:rPr>
        <w:t>” does not appear in paragraph 97(4)(b) of Schedule 1. However, the text “</w:t>
      </w:r>
      <w:r w:rsidRPr="002F5832">
        <w:rPr>
          <w:szCs w:val="22"/>
          <w:shd w:val="clear" w:color="auto" w:fill="FFFFFF"/>
        </w:rPr>
        <w:t>stabilised crude petroleum oil, condensate, tallow, vegetable oil and eligible petroleum feedstocks</w:t>
      </w:r>
      <w:r w:rsidRPr="002F5832">
        <w:rPr>
          <w:rFonts w:eastAsia="Times New Roman" w:cs="Times New Roman"/>
          <w:color w:val="000000"/>
          <w:szCs w:val="22"/>
          <w:lang w:eastAsia="en-AU"/>
        </w:rPr>
        <w:t>” appears twice.</w:t>
      </w:r>
    </w:p>
    <w:p w:rsidR="001A7B4E" w:rsidRPr="002F5832" w:rsidRDefault="001A7B4E" w:rsidP="001A7B4E">
      <w:pPr>
        <w:spacing w:line="240" w:lineRule="auto"/>
        <w:rPr>
          <w:rFonts w:eastAsia="Times New Roman" w:cs="Times New Roman"/>
          <w:color w:val="000000"/>
          <w:szCs w:val="22"/>
          <w:lang w:eastAsia="en-AU"/>
        </w:rPr>
      </w:pPr>
      <w:r w:rsidRPr="002F5832">
        <w:rPr>
          <w:rFonts w:eastAsia="Times New Roman" w:cs="Times New Roman"/>
          <w:color w:val="000000"/>
          <w:szCs w:val="22"/>
          <w:lang w:eastAsia="en-AU"/>
        </w:rPr>
        <w:t>This compilation was editorially changed to omit “</w:t>
      </w:r>
      <w:r w:rsidRPr="002F5832">
        <w:rPr>
          <w:szCs w:val="22"/>
          <w:shd w:val="clear" w:color="auto" w:fill="FFFFFF"/>
        </w:rPr>
        <w:t>stabilised crude petroleum oil, condensate, tallow, vegetable oil and eligible petroleum feedstocks</w:t>
      </w:r>
      <w:r w:rsidRPr="002F5832">
        <w:rPr>
          <w:rFonts w:eastAsia="Times New Roman" w:cs="Times New Roman"/>
          <w:color w:val="000000"/>
          <w:szCs w:val="22"/>
          <w:lang w:eastAsia="en-AU"/>
        </w:rPr>
        <w:t>” (wherever occurring) and substitute “</w:t>
      </w:r>
      <w:r w:rsidRPr="002F5832">
        <w:rPr>
          <w:rFonts w:eastAsia="Times New Roman"/>
          <w:szCs w:val="22"/>
          <w:lang w:eastAsia="en-AU"/>
        </w:rPr>
        <w:t xml:space="preserve">stabilised crude petroleum, condensate, </w:t>
      </w:r>
      <w:r w:rsidRPr="002F5832">
        <w:rPr>
          <w:szCs w:val="22"/>
          <w:shd w:val="clear" w:color="auto" w:fill="FFFFFF"/>
        </w:rPr>
        <w:t>biogenic oils, liquid synthetic hydrocarbons, alcohol feedstocks, waste or recycled material that has undergone pyrolysis, eligible petroleum feedstocks and bio</w:t>
      </w:r>
      <w:r>
        <w:rPr>
          <w:szCs w:val="22"/>
          <w:shd w:val="clear" w:color="auto" w:fill="FFFFFF"/>
        </w:rPr>
        <w:noBreakHyphen/>
      </w:r>
      <w:r w:rsidRPr="002F5832">
        <w:rPr>
          <w:szCs w:val="22"/>
          <w:shd w:val="clear" w:color="auto" w:fill="FFFFFF"/>
        </w:rPr>
        <w:t>crude or bio</w:t>
      </w:r>
      <w:r>
        <w:rPr>
          <w:szCs w:val="22"/>
          <w:shd w:val="clear" w:color="auto" w:fill="FFFFFF"/>
        </w:rPr>
        <w:noBreakHyphen/>
      </w:r>
      <w:r w:rsidRPr="002F5832">
        <w:rPr>
          <w:szCs w:val="22"/>
          <w:shd w:val="clear" w:color="auto" w:fill="FFFFFF"/>
        </w:rPr>
        <w:t>intermediates produced from thermochemical processes</w:t>
      </w:r>
      <w:r w:rsidRPr="002F5832">
        <w:rPr>
          <w:rFonts w:eastAsia="Times New Roman" w:cs="Times New Roman"/>
          <w:color w:val="000000"/>
          <w:szCs w:val="22"/>
          <w:lang w:eastAsia="en-AU"/>
        </w:rPr>
        <w:t>” in paragraph 97(4)(b) of Schedule 1 to give effect to the misdescribed amendment as intended.</w:t>
      </w:r>
    </w:p>
    <w:p w:rsidR="002C372A" w:rsidRPr="00BE5F99" w:rsidRDefault="002C372A" w:rsidP="002C372A">
      <w:pPr>
        <w:pStyle w:val="Head2"/>
        <w:keepLines/>
        <w:spacing w:after="240"/>
      </w:pPr>
      <w:r w:rsidRPr="002D7D4A">
        <w:t>List of Exempt Native Specimens Instrument 2001</w:t>
      </w:r>
      <w:r>
        <w:t xml:space="preserve">, Compilation No. 416, Registration Date: </w:t>
      </w:r>
      <w:r w:rsidR="006471ED">
        <w:t>10</w:t>
      </w:r>
      <w:r>
        <w:t> May 202</w:t>
      </w:r>
      <w:r w:rsidRPr="00BE5F99">
        <w:t>4 [</w:t>
      </w:r>
      <w:r w:rsidR="006471ED" w:rsidRPr="006471ED">
        <w:t>F2024C00427</w:t>
      </w:r>
      <w:r w:rsidRPr="00BE5F99">
        <w:t>]</w:t>
      </w:r>
    </w:p>
    <w:p w:rsidR="006471ED" w:rsidRDefault="006471ED" w:rsidP="006471ED">
      <w:pPr>
        <w:spacing w:after="240"/>
        <w:rPr>
          <w:b/>
          <w:sz w:val="24"/>
          <w:szCs w:val="24"/>
        </w:rPr>
      </w:pPr>
      <w:r w:rsidRPr="00AD34D9">
        <w:rPr>
          <w:b/>
          <w:sz w:val="24"/>
          <w:szCs w:val="24"/>
        </w:rPr>
        <w:t>Schedule 1, entry for New South Wales Southern Cross Botanicals Beach-cast Sea Kelp Fishery</w:t>
      </w:r>
    </w:p>
    <w:p w:rsidR="006471ED" w:rsidRPr="004549F1" w:rsidRDefault="006471ED" w:rsidP="006471ED">
      <w:pPr>
        <w:spacing w:after="240"/>
        <w:rPr>
          <w:b/>
        </w:rPr>
      </w:pPr>
      <w:r w:rsidRPr="004549F1">
        <w:rPr>
          <w:b/>
        </w:rPr>
        <w:t>Kind of editorial change</w:t>
      </w:r>
    </w:p>
    <w:p w:rsidR="006471ED" w:rsidRPr="0018341F" w:rsidRDefault="006471ED" w:rsidP="006471ED">
      <w:pPr>
        <w:spacing w:after="240"/>
      </w:pPr>
      <w:r w:rsidRPr="00AD34D9">
        <w:t>Give effect to the misdescribed amendment as intended</w:t>
      </w:r>
    </w:p>
    <w:p w:rsidR="006471ED" w:rsidRPr="004549F1" w:rsidRDefault="006471ED" w:rsidP="006471ED">
      <w:pPr>
        <w:spacing w:after="240"/>
        <w:rPr>
          <w:b/>
        </w:rPr>
      </w:pPr>
      <w:r w:rsidRPr="004549F1">
        <w:rPr>
          <w:b/>
        </w:rPr>
        <w:t>Details of editorial change</w:t>
      </w:r>
    </w:p>
    <w:p w:rsidR="006471ED" w:rsidRPr="00384D36" w:rsidRDefault="006471ED" w:rsidP="006471ED">
      <w:pPr>
        <w:spacing w:after="240"/>
        <w:rPr>
          <w:szCs w:val="22"/>
        </w:rPr>
      </w:pPr>
      <w:r w:rsidRPr="00384D36">
        <w:rPr>
          <w:szCs w:val="22"/>
        </w:rPr>
        <w:t xml:space="preserve">Schedule 1 of the </w:t>
      </w:r>
      <w:r w:rsidRPr="00C825BD">
        <w:rPr>
          <w:i/>
          <w:szCs w:val="22"/>
        </w:rPr>
        <w:t>Amendment of List of Exempt Native Specimens – New South Wales Marine Vegetation Fishery, April 2024</w:t>
      </w:r>
      <w:r w:rsidRPr="00384D36">
        <w:rPr>
          <w:szCs w:val="22"/>
        </w:rPr>
        <w:t xml:space="preserve"> provides as follows:</w:t>
      </w:r>
    </w:p>
    <w:p w:rsidR="006471ED" w:rsidRPr="00384D36" w:rsidRDefault="006471ED" w:rsidP="006471ED">
      <w:pPr>
        <w:rPr>
          <w:szCs w:val="22"/>
        </w:rPr>
      </w:pPr>
      <w:r w:rsidRPr="00384D36">
        <w:rPr>
          <w:szCs w:val="22"/>
        </w:rPr>
        <w:t>Under the heading Freshwater and Marine Animals delete from the list the following items and any associated notations:</w:t>
      </w:r>
    </w:p>
    <w:tbl>
      <w:tblPr>
        <w:tblStyle w:val="TableGrid"/>
        <w:tblW w:w="5000" w:type="pct"/>
        <w:tblLook w:val="04A0" w:firstRow="1" w:lastRow="0" w:firstColumn="1" w:lastColumn="0" w:noHBand="0" w:noVBand="1"/>
      </w:tblPr>
      <w:tblGrid>
        <w:gridCol w:w="3697"/>
        <w:gridCol w:w="2773"/>
        <w:gridCol w:w="2773"/>
      </w:tblGrid>
      <w:tr w:rsidR="006471ED" w:rsidRPr="00BC1A6F" w:rsidTr="005A3704">
        <w:trPr>
          <w:tblHeader/>
        </w:trPr>
        <w:tc>
          <w:tcPr>
            <w:tcW w:w="2000" w:type="pct"/>
          </w:tcPr>
          <w:p w:rsidR="006471ED" w:rsidRPr="0000289C" w:rsidRDefault="006471ED" w:rsidP="005A3704">
            <w:pPr>
              <w:widowControl w:val="0"/>
              <w:rPr>
                <w:b/>
                <w:szCs w:val="22"/>
              </w:rPr>
            </w:pPr>
            <w:r w:rsidRPr="0000289C">
              <w:rPr>
                <w:b/>
                <w:szCs w:val="22"/>
              </w:rPr>
              <w:t>Taxon/Item</w:t>
            </w:r>
          </w:p>
        </w:tc>
        <w:tc>
          <w:tcPr>
            <w:tcW w:w="1500" w:type="pct"/>
          </w:tcPr>
          <w:p w:rsidR="006471ED" w:rsidRPr="0000289C" w:rsidRDefault="006471ED" w:rsidP="005A3704">
            <w:pPr>
              <w:widowControl w:val="0"/>
              <w:rPr>
                <w:b/>
                <w:szCs w:val="22"/>
              </w:rPr>
            </w:pPr>
            <w:r w:rsidRPr="0000289C">
              <w:rPr>
                <w:b/>
                <w:szCs w:val="22"/>
              </w:rPr>
              <w:t>Common Name</w:t>
            </w:r>
          </w:p>
        </w:tc>
        <w:tc>
          <w:tcPr>
            <w:tcW w:w="1500" w:type="pct"/>
          </w:tcPr>
          <w:p w:rsidR="006471ED" w:rsidRPr="0000289C" w:rsidRDefault="006471ED" w:rsidP="005A3704">
            <w:pPr>
              <w:widowControl w:val="0"/>
              <w:rPr>
                <w:b/>
                <w:szCs w:val="22"/>
              </w:rPr>
            </w:pPr>
            <w:r w:rsidRPr="0000289C">
              <w:rPr>
                <w:b/>
                <w:szCs w:val="22"/>
              </w:rPr>
              <w:t>Notation</w:t>
            </w:r>
          </w:p>
        </w:tc>
      </w:tr>
      <w:tr w:rsidR="006471ED" w:rsidRPr="00BC1A6F" w:rsidTr="005A3704">
        <w:tc>
          <w:tcPr>
            <w:tcW w:w="2000" w:type="pct"/>
          </w:tcPr>
          <w:p w:rsidR="006471ED" w:rsidRPr="0000289C" w:rsidRDefault="006471ED" w:rsidP="005A3704">
            <w:pPr>
              <w:widowControl w:val="0"/>
              <w:rPr>
                <w:rFonts w:eastAsia="Times New Roman"/>
                <w:color w:val="000000"/>
                <w:szCs w:val="22"/>
                <w:lang w:eastAsia="en-AU"/>
              </w:rPr>
            </w:pPr>
            <w:r w:rsidRPr="0000289C">
              <w:rPr>
                <w:rFonts w:eastAsia="Times New Roman"/>
                <w:color w:val="000000"/>
                <w:szCs w:val="22"/>
                <w:lang w:eastAsia="en-AU"/>
              </w:rPr>
              <w:t>Specimens that are or are derived from marine vegetation taken under permits issued by the NSW Department of Primary Industries in accordance with the</w:t>
            </w:r>
            <w:r w:rsidRPr="0000289C">
              <w:rPr>
                <w:rFonts w:eastAsia="Times New Roman"/>
                <w:szCs w:val="22"/>
                <w:lang w:eastAsia="en-AU"/>
              </w:rPr>
              <w:t> </w:t>
            </w:r>
            <w:r w:rsidRPr="0000289C">
              <w:rPr>
                <w:rFonts w:eastAsia="Times New Roman"/>
                <w:i/>
                <w:iCs/>
                <w:color w:val="000000"/>
                <w:szCs w:val="22"/>
                <w:lang w:eastAsia="en-AU"/>
              </w:rPr>
              <w:t>Fisheries Management Act 1994</w:t>
            </w:r>
            <w:r w:rsidRPr="0000289C">
              <w:rPr>
                <w:rFonts w:eastAsia="Times New Roman"/>
                <w:color w:val="000000"/>
                <w:szCs w:val="22"/>
                <w:lang w:eastAsia="en-AU"/>
              </w:rPr>
              <w:t> (NSW), </w:t>
            </w:r>
            <w:r w:rsidRPr="0000289C">
              <w:rPr>
                <w:rFonts w:eastAsia="Times New Roman"/>
                <w:i/>
                <w:iCs/>
                <w:color w:val="000000"/>
                <w:szCs w:val="22"/>
                <w:lang w:eastAsia="en-AU"/>
              </w:rPr>
              <w:t>Marine Estate Management Act </w:t>
            </w:r>
            <w:r w:rsidRPr="0000289C">
              <w:rPr>
                <w:rFonts w:eastAsia="Times New Roman"/>
                <w:color w:val="000000"/>
                <w:szCs w:val="22"/>
                <w:lang w:eastAsia="en-AU"/>
              </w:rPr>
              <w:t>2014 (NSW), Fisheries Management (General) Regulation 2019</w:t>
            </w:r>
            <w:r w:rsidRPr="0000289C">
              <w:rPr>
                <w:rFonts w:eastAsia="Times New Roman"/>
                <w:i/>
                <w:iCs/>
                <w:color w:val="000000"/>
                <w:szCs w:val="22"/>
                <w:lang w:eastAsia="en-AU"/>
              </w:rPr>
              <w:t> </w:t>
            </w:r>
            <w:r w:rsidRPr="0000289C">
              <w:rPr>
                <w:rFonts w:eastAsia="Times New Roman"/>
                <w:color w:val="000000"/>
                <w:szCs w:val="22"/>
                <w:lang w:eastAsia="en-AU"/>
              </w:rPr>
              <w:t>(NSW)</w:t>
            </w:r>
            <w:r w:rsidRPr="0000289C">
              <w:rPr>
                <w:rFonts w:eastAsia="Times New Roman"/>
                <w:i/>
                <w:iCs/>
                <w:color w:val="000000"/>
                <w:szCs w:val="22"/>
                <w:lang w:eastAsia="en-AU"/>
              </w:rPr>
              <w:t>,</w:t>
            </w:r>
            <w:r w:rsidRPr="0000289C">
              <w:rPr>
                <w:rFonts w:eastAsia="Times New Roman"/>
                <w:color w:val="000000"/>
                <w:szCs w:val="22"/>
                <w:lang w:eastAsia="en-AU"/>
              </w:rPr>
              <w:t> the</w:t>
            </w:r>
            <w:r w:rsidRPr="0000289C">
              <w:rPr>
                <w:rFonts w:eastAsia="Times New Roman"/>
                <w:i/>
                <w:iCs/>
                <w:color w:val="000000"/>
                <w:szCs w:val="22"/>
                <w:lang w:eastAsia="en-AU"/>
              </w:rPr>
              <w:t> </w:t>
            </w:r>
            <w:r w:rsidRPr="0000289C">
              <w:rPr>
                <w:rFonts w:eastAsia="Times New Roman"/>
                <w:color w:val="000000"/>
                <w:szCs w:val="22"/>
                <w:lang w:eastAsia="en-AU"/>
              </w:rPr>
              <w:t>Fisheries Management (Aquaculture) Regulation 2017</w:t>
            </w:r>
            <w:r w:rsidRPr="0000289C">
              <w:rPr>
                <w:rFonts w:eastAsia="Times New Roman"/>
                <w:i/>
                <w:iCs/>
                <w:color w:val="000000"/>
                <w:szCs w:val="22"/>
                <w:lang w:eastAsia="en-AU"/>
              </w:rPr>
              <w:t> </w:t>
            </w:r>
            <w:r w:rsidRPr="0000289C">
              <w:rPr>
                <w:rFonts w:eastAsia="Times New Roman"/>
                <w:color w:val="000000"/>
                <w:szCs w:val="22"/>
                <w:lang w:eastAsia="en-AU"/>
              </w:rPr>
              <w:t>(NSW) and the Marine Estate Management Regulation 2017 (NSW), but not including:</w:t>
            </w:r>
          </w:p>
          <w:p w:rsidR="006471ED" w:rsidRPr="0000289C" w:rsidRDefault="006471ED" w:rsidP="005A3704">
            <w:pPr>
              <w:widowControl w:val="0"/>
              <w:ind w:left="357" w:hanging="357"/>
              <w:rPr>
                <w:rFonts w:eastAsia="Times New Roman"/>
                <w:color w:val="000000"/>
                <w:szCs w:val="22"/>
                <w:lang w:eastAsia="en-AU"/>
              </w:rPr>
            </w:pPr>
            <w:r w:rsidRPr="0000289C">
              <w:rPr>
                <w:rFonts w:eastAsia="Times New Roman"/>
                <w:color w:val="000000"/>
                <w:szCs w:val="22"/>
                <w:lang w:eastAsia="en-AU"/>
              </w:rPr>
              <w:t>(a)  specimens that belong to taxa listed under section 209 of the EPBC Act (Australia’s List of Migratory Species), or</w:t>
            </w:r>
          </w:p>
          <w:p w:rsidR="006471ED" w:rsidRPr="0000289C" w:rsidRDefault="006471ED" w:rsidP="005A3704">
            <w:pPr>
              <w:widowControl w:val="0"/>
              <w:ind w:left="357" w:hanging="357"/>
              <w:rPr>
                <w:rFonts w:eastAsia="Times New Roman"/>
                <w:color w:val="000000"/>
                <w:szCs w:val="22"/>
                <w:lang w:eastAsia="en-AU"/>
              </w:rPr>
            </w:pPr>
            <w:r w:rsidRPr="0000289C">
              <w:rPr>
                <w:rFonts w:eastAsia="Times New Roman"/>
                <w:color w:val="000000"/>
                <w:szCs w:val="22"/>
                <w:lang w:eastAsia="en-AU"/>
              </w:rPr>
              <w:t xml:space="preserve">(b)  specimens that belong to taxa listed under section 248 of the EPBC Act (Australia’s List of </w:t>
            </w:r>
            <w:r w:rsidRPr="0000289C">
              <w:rPr>
                <w:rFonts w:eastAsia="Times New Roman"/>
                <w:color w:val="000000"/>
                <w:szCs w:val="22"/>
                <w:lang w:eastAsia="en-AU"/>
              </w:rPr>
              <w:lastRenderedPageBreak/>
              <w:t>Marine Species), or</w:t>
            </w:r>
          </w:p>
          <w:p w:rsidR="006471ED" w:rsidRPr="0000289C" w:rsidRDefault="006471ED" w:rsidP="005A3704">
            <w:pPr>
              <w:widowControl w:val="0"/>
              <w:ind w:left="357" w:hanging="357"/>
              <w:rPr>
                <w:rFonts w:eastAsia="Times New Roman"/>
                <w:color w:val="000000"/>
                <w:szCs w:val="22"/>
                <w:lang w:eastAsia="en-AU"/>
              </w:rPr>
            </w:pPr>
            <w:r w:rsidRPr="0000289C">
              <w:rPr>
                <w:rFonts w:eastAsia="Times New Roman"/>
                <w:color w:val="000000"/>
                <w:szCs w:val="22"/>
                <w:lang w:eastAsia="en-AU"/>
              </w:rPr>
              <w:t>(c)  specimens that belong to eligible listed threatened species, as defined under section 303BC of the EPBC Act, or</w:t>
            </w:r>
          </w:p>
          <w:p w:rsidR="006471ED" w:rsidRPr="0000289C" w:rsidRDefault="006471ED" w:rsidP="005A3704">
            <w:pPr>
              <w:widowControl w:val="0"/>
              <w:ind w:left="357" w:hanging="357"/>
              <w:rPr>
                <w:rFonts w:eastAsia="Times New Roman"/>
                <w:color w:val="000000"/>
                <w:szCs w:val="22"/>
                <w:lang w:eastAsia="en-AU"/>
              </w:rPr>
            </w:pPr>
            <w:r w:rsidRPr="0000289C">
              <w:rPr>
                <w:rFonts w:eastAsia="Times New Roman"/>
                <w:color w:val="000000"/>
                <w:szCs w:val="22"/>
                <w:lang w:eastAsia="en-AU"/>
              </w:rPr>
              <w:t>(d)  specimens that belong to taxa listed under section 303CA of the EPBC Act (Australia’s CITES List).</w:t>
            </w:r>
          </w:p>
        </w:tc>
        <w:tc>
          <w:tcPr>
            <w:tcW w:w="1500" w:type="pct"/>
          </w:tcPr>
          <w:p w:rsidR="006471ED" w:rsidRPr="0000289C" w:rsidRDefault="006471ED" w:rsidP="005A3704">
            <w:pPr>
              <w:widowControl w:val="0"/>
              <w:rPr>
                <w:szCs w:val="22"/>
              </w:rPr>
            </w:pPr>
            <w:r w:rsidRPr="0000289C">
              <w:rPr>
                <w:color w:val="000000"/>
                <w:szCs w:val="22"/>
              </w:rPr>
              <w:lastRenderedPageBreak/>
              <w:t>New South Wales Southern Cross Botanicals Beach-cast Sea Kelp Fishery</w:t>
            </w:r>
          </w:p>
        </w:tc>
        <w:tc>
          <w:tcPr>
            <w:tcW w:w="1500" w:type="pct"/>
          </w:tcPr>
          <w:p w:rsidR="006471ED" w:rsidRPr="0000289C" w:rsidRDefault="006471ED" w:rsidP="006471ED">
            <w:pPr>
              <w:pStyle w:val="listbullet0"/>
              <w:widowControl w:val="0"/>
              <w:numPr>
                <w:ilvl w:val="0"/>
                <w:numId w:val="48"/>
              </w:numPr>
              <w:spacing w:before="0" w:beforeAutospacing="0" w:after="0" w:afterAutospacing="0"/>
              <w:rPr>
                <w:color w:val="000000"/>
                <w:sz w:val="22"/>
                <w:szCs w:val="22"/>
              </w:rPr>
            </w:pPr>
            <w:r w:rsidRPr="0000289C">
              <w:rPr>
                <w:color w:val="000000"/>
                <w:sz w:val="22"/>
                <w:szCs w:val="22"/>
              </w:rPr>
              <w:t>The specimen, or the marine vegetation from which it is derived, was taken lawfully; and</w:t>
            </w:r>
          </w:p>
          <w:p w:rsidR="006471ED" w:rsidRPr="0000289C" w:rsidRDefault="006471ED" w:rsidP="006471ED">
            <w:pPr>
              <w:pStyle w:val="listbullet0"/>
              <w:widowControl w:val="0"/>
              <w:numPr>
                <w:ilvl w:val="0"/>
                <w:numId w:val="48"/>
              </w:numPr>
              <w:spacing w:before="0" w:beforeAutospacing="0" w:after="0" w:afterAutospacing="0"/>
              <w:rPr>
                <w:color w:val="000000"/>
                <w:sz w:val="22"/>
                <w:szCs w:val="22"/>
              </w:rPr>
            </w:pPr>
            <w:r w:rsidRPr="0000289C">
              <w:rPr>
                <w:color w:val="000000"/>
                <w:sz w:val="22"/>
                <w:szCs w:val="22"/>
              </w:rPr>
              <w:t>The specimens are included in the list until 7 April 2024.</w:t>
            </w:r>
          </w:p>
        </w:tc>
      </w:tr>
    </w:tbl>
    <w:p w:rsidR="006471ED" w:rsidRPr="00384D36" w:rsidRDefault="006471ED" w:rsidP="006471ED">
      <w:pPr>
        <w:spacing w:before="240" w:after="240"/>
        <w:rPr>
          <w:szCs w:val="22"/>
        </w:rPr>
      </w:pPr>
      <w:r w:rsidRPr="001F3758">
        <w:rPr>
          <w:szCs w:val="22"/>
        </w:rPr>
        <w:t>The text contained in the Taxon/Item and Notation columns</w:t>
      </w:r>
      <w:r w:rsidRPr="00384D36">
        <w:rPr>
          <w:szCs w:val="22"/>
        </w:rPr>
        <w:t xml:space="preserve"> of the Schedule 1 entry for the New South Wales Southern Cross Botanicals Beach-cast Sea Kelp Fishery does not exactly match the text to be omitted as outlined in Schedule 1 of the </w:t>
      </w:r>
      <w:r w:rsidRPr="00666B3C">
        <w:rPr>
          <w:i/>
          <w:szCs w:val="22"/>
        </w:rPr>
        <w:t>Amendment of List of Exempt Native Specimens – New South Wales Marine Vegetation Fishery, April 2024</w:t>
      </w:r>
      <w:r w:rsidRPr="00384D36">
        <w:rPr>
          <w:szCs w:val="22"/>
        </w:rPr>
        <w:t>.</w:t>
      </w:r>
    </w:p>
    <w:p w:rsidR="006471ED" w:rsidRPr="004549F1" w:rsidRDefault="006471ED" w:rsidP="006471ED">
      <w:pPr>
        <w:spacing w:after="240"/>
      </w:pPr>
      <w:r w:rsidRPr="00384D36">
        <w:rPr>
          <w:szCs w:val="22"/>
        </w:rPr>
        <w:t>This compilation was editorially changed to omit the Schedule 1 entry for the New South Wales Southern Cross Botanicals Beach-cast Sea Kelp Fishery and give effect to the misdescribed amendment as intended.</w:t>
      </w:r>
    </w:p>
    <w:p w:rsidR="006471ED" w:rsidRDefault="006471ED" w:rsidP="00C01D6A">
      <w:pPr>
        <w:keepNext/>
        <w:keepLines/>
        <w:spacing w:after="240"/>
        <w:rPr>
          <w:b/>
          <w:sz w:val="24"/>
          <w:szCs w:val="24"/>
        </w:rPr>
      </w:pPr>
      <w:r w:rsidRPr="00AD34D9">
        <w:rPr>
          <w:b/>
          <w:sz w:val="24"/>
          <w:szCs w:val="24"/>
        </w:rPr>
        <w:t>Schedule</w:t>
      </w:r>
      <w:r>
        <w:rPr>
          <w:b/>
          <w:sz w:val="24"/>
          <w:szCs w:val="24"/>
        </w:rPr>
        <w:t xml:space="preserve"> 1</w:t>
      </w:r>
      <w:r w:rsidRPr="00AD34D9">
        <w:rPr>
          <w:b/>
          <w:sz w:val="24"/>
          <w:szCs w:val="24"/>
        </w:rPr>
        <w:t xml:space="preserve">, entry for New South Wales </w:t>
      </w:r>
      <w:r>
        <w:rPr>
          <w:b/>
          <w:sz w:val="24"/>
          <w:szCs w:val="24"/>
        </w:rPr>
        <w:t>Marine Vegetation</w:t>
      </w:r>
      <w:r w:rsidRPr="00AD34D9">
        <w:rPr>
          <w:b/>
          <w:sz w:val="24"/>
          <w:szCs w:val="24"/>
        </w:rPr>
        <w:t xml:space="preserve"> Fishery</w:t>
      </w:r>
    </w:p>
    <w:p w:rsidR="006471ED" w:rsidRPr="004549F1" w:rsidRDefault="006471ED" w:rsidP="00C01D6A">
      <w:pPr>
        <w:keepNext/>
        <w:keepLines/>
        <w:spacing w:after="240"/>
        <w:rPr>
          <w:b/>
        </w:rPr>
      </w:pPr>
      <w:r w:rsidRPr="004549F1">
        <w:rPr>
          <w:b/>
        </w:rPr>
        <w:t>Kind of editorial change</w:t>
      </w:r>
    </w:p>
    <w:p w:rsidR="006471ED" w:rsidRPr="0018341F" w:rsidRDefault="006471ED" w:rsidP="00C01D6A">
      <w:pPr>
        <w:keepNext/>
        <w:keepLines/>
        <w:spacing w:after="240"/>
      </w:pPr>
      <w:r>
        <w:t>Correct a typographical error</w:t>
      </w:r>
    </w:p>
    <w:p w:rsidR="006471ED" w:rsidRPr="004549F1" w:rsidRDefault="006471ED" w:rsidP="00C01D6A">
      <w:pPr>
        <w:keepNext/>
        <w:keepLines/>
        <w:spacing w:after="240"/>
        <w:rPr>
          <w:b/>
        </w:rPr>
      </w:pPr>
      <w:r w:rsidRPr="004549F1">
        <w:rPr>
          <w:b/>
        </w:rPr>
        <w:t>Details of editorial change</w:t>
      </w:r>
    </w:p>
    <w:p w:rsidR="006471ED" w:rsidRPr="00384D36" w:rsidRDefault="006471ED" w:rsidP="006471ED">
      <w:pPr>
        <w:spacing w:after="240"/>
        <w:rPr>
          <w:szCs w:val="22"/>
        </w:rPr>
      </w:pPr>
      <w:r w:rsidRPr="00384D36">
        <w:rPr>
          <w:szCs w:val="22"/>
        </w:rPr>
        <w:t xml:space="preserve">Schedule </w:t>
      </w:r>
      <w:r>
        <w:rPr>
          <w:szCs w:val="22"/>
        </w:rPr>
        <w:t>2</w:t>
      </w:r>
      <w:r w:rsidRPr="00384D36">
        <w:rPr>
          <w:szCs w:val="22"/>
        </w:rPr>
        <w:t xml:space="preserve"> of the </w:t>
      </w:r>
      <w:r w:rsidRPr="005A1153">
        <w:rPr>
          <w:i/>
          <w:szCs w:val="22"/>
        </w:rPr>
        <w:t>Amendment of List of Exempt Native Specimens – New South Wales Marine Vegetation Fishery, April 2024</w:t>
      </w:r>
      <w:r w:rsidRPr="00384D36">
        <w:rPr>
          <w:szCs w:val="22"/>
        </w:rPr>
        <w:t xml:space="preserve"> provides as follows:</w:t>
      </w:r>
    </w:p>
    <w:p w:rsidR="006471ED" w:rsidRDefault="006471ED" w:rsidP="006471ED">
      <w:pPr>
        <w:rPr>
          <w:szCs w:val="22"/>
        </w:rPr>
      </w:pPr>
      <w:bookmarkStart w:id="36" w:name="_Hlk165042507"/>
      <w:r w:rsidRPr="00384D36">
        <w:rPr>
          <w:szCs w:val="22"/>
        </w:rPr>
        <w:t xml:space="preserve">Under the heading Freshwater and Marine Animals </w:t>
      </w:r>
      <w:r>
        <w:rPr>
          <w:szCs w:val="22"/>
        </w:rPr>
        <w:t>include in</w:t>
      </w:r>
      <w:r w:rsidRPr="00384D36">
        <w:rPr>
          <w:szCs w:val="22"/>
        </w:rPr>
        <w:t xml:space="preserve"> the list the following items and associated notations:</w:t>
      </w:r>
    </w:p>
    <w:tbl>
      <w:tblPr>
        <w:tblStyle w:val="TableGrid"/>
        <w:tblW w:w="0" w:type="auto"/>
        <w:tblLook w:val="04A0" w:firstRow="1" w:lastRow="0" w:firstColumn="1" w:lastColumn="0" w:noHBand="0" w:noVBand="1"/>
      </w:tblPr>
      <w:tblGrid>
        <w:gridCol w:w="2969"/>
        <w:gridCol w:w="2779"/>
        <w:gridCol w:w="2781"/>
      </w:tblGrid>
      <w:tr w:rsidR="006471ED" w:rsidRPr="00CC4437" w:rsidTr="005A3704">
        <w:trPr>
          <w:cantSplit/>
          <w:tblHeader/>
        </w:trPr>
        <w:tc>
          <w:tcPr>
            <w:tcW w:w="2969" w:type="dxa"/>
          </w:tcPr>
          <w:p w:rsidR="006471ED" w:rsidRPr="0000289C" w:rsidRDefault="006471ED" w:rsidP="005A3704">
            <w:pPr>
              <w:rPr>
                <w:b/>
                <w:szCs w:val="22"/>
              </w:rPr>
            </w:pPr>
            <w:r w:rsidRPr="0000289C">
              <w:rPr>
                <w:b/>
                <w:szCs w:val="22"/>
              </w:rPr>
              <w:t>Taxon/Item</w:t>
            </w:r>
          </w:p>
        </w:tc>
        <w:tc>
          <w:tcPr>
            <w:tcW w:w="2779" w:type="dxa"/>
          </w:tcPr>
          <w:p w:rsidR="006471ED" w:rsidRPr="0000289C" w:rsidRDefault="006471ED" w:rsidP="005A3704">
            <w:pPr>
              <w:rPr>
                <w:b/>
                <w:szCs w:val="22"/>
              </w:rPr>
            </w:pPr>
            <w:r w:rsidRPr="0000289C">
              <w:rPr>
                <w:b/>
                <w:szCs w:val="22"/>
              </w:rPr>
              <w:t>Common Name</w:t>
            </w:r>
          </w:p>
        </w:tc>
        <w:tc>
          <w:tcPr>
            <w:tcW w:w="2781" w:type="dxa"/>
          </w:tcPr>
          <w:p w:rsidR="006471ED" w:rsidRPr="0000289C" w:rsidRDefault="006471ED" w:rsidP="005A3704">
            <w:pPr>
              <w:rPr>
                <w:b/>
                <w:szCs w:val="22"/>
              </w:rPr>
            </w:pPr>
            <w:r w:rsidRPr="0000289C">
              <w:rPr>
                <w:b/>
                <w:szCs w:val="22"/>
              </w:rPr>
              <w:t>Notation</w:t>
            </w:r>
          </w:p>
        </w:tc>
      </w:tr>
      <w:tr w:rsidR="006471ED" w:rsidRPr="00C67B31" w:rsidTr="005A3704">
        <w:tc>
          <w:tcPr>
            <w:tcW w:w="2969" w:type="dxa"/>
          </w:tcPr>
          <w:p w:rsidR="006471ED" w:rsidRPr="0000289C" w:rsidRDefault="006471ED" w:rsidP="005A3704">
            <w:pPr>
              <w:rPr>
                <w:rFonts w:eastAsia="Times New Roman"/>
                <w:color w:val="000000"/>
                <w:szCs w:val="22"/>
                <w:lang w:eastAsia="en-AU"/>
              </w:rPr>
            </w:pPr>
            <w:r w:rsidRPr="0000289C">
              <w:rPr>
                <w:rFonts w:eastAsia="Times New Roman"/>
                <w:color w:val="000000"/>
                <w:szCs w:val="22"/>
                <w:lang w:eastAsia="en-AU"/>
              </w:rPr>
              <w:t>Specimens that are or are derived from marine vegetation taken under permits issued by the NSW Department of Primary Industries in accordance with the</w:t>
            </w:r>
            <w:r w:rsidRPr="0000289C">
              <w:rPr>
                <w:rFonts w:eastAsia="Times New Roman"/>
                <w:szCs w:val="22"/>
                <w:lang w:eastAsia="en-AU"/>
              </w:rPr>
              <w:t> </w:t>
            </w:r>
            <w:r w:rsidRPr="0000289C">
              <w:rPr>
                <w:rFonts w:eastAsia="Times New Roman"/>
                <w:i/>
                <w:iCs/>
                <w:color w:val="000000"/>
                <w:szCs w:val="22"/>
                <w:lang w:eastAsia="en-AU"/>
              </w:rPr>
              <w:t>Fisheries Management Act 1994</w:t>
            </w:r>
            <w:r w:rsidRPr="0000289C">
              <w:rPr>
                <w:rFonts w:eastAsia="Times New Roman"/>
                <w:color w:val="000000"/>
                <w:szCs w:val="22"/>
                <w:lang w:eastAsia="en-AU"/>
              </w:rPr>
              <w:t> (NSW), </w:t>
            </w:r>
            <w:r w:rsidRPr="0000289C">
              <w:rPr>
                <w:rFonts w:eastAsia="Times New Roman"/>
                <w:i/>
                <w:iCs/>
                <w:color w:val="000000"/>
                <w:szCs w:val="22"/>
                <w:lang w:eastAsia="en-AU"/>
              </w:rPr>
              <w:t>Marine Estate Management Act </w:t>
            </w:r>
            <w:r w:rsidRPr="0000289C">
              <w:rPr>
                <w:rFonts w:eastAsia="Times New Roman"/>
                <w:color w:val="000000"/>
                <w:szCs w:val="22"/>
                <w:lang w:eastAsia="en-AU"/>
              </w:rPr>
              <w:t>2014 (NSW), Fisheries Management (General) Regulation 2019</w:t>
            </w:r>
            <w:r w:rsidRPr="0000289C">
              <w:rPr>
                <w:rFonts w:eastAsia="Times New Roman"/>
                <w:i/>
                <w:iCs/>
                <w:color w:val="000000"/>
                <w:szCs w:val="22"/>
                <w:lang w:eastAsia="en-AU"/>
              </w:rPr>
              <w:t> </w:t>
            </w:r>
            <w:r w:rsidRPr="0000289C">
              <w:rPr>
                <w:rFonts w:eastAsia="Times New Roman"/>
                <w:color w:val="000000"/>
                <w:szCs w:val="22"/>
                <w:lang w:eastAsia="en-AU"/>
              </w:rPr>
              <w:t>(NSW)</w:t>
            </w:r>
            <w:r w:rsidRPr="0000289C">
              <w:rPr>
                <w:rFonts w:eastAsia="Times New Roman"/>
                <w:i/>
                <w:iCs/>
                <w:color w:val="000000"/>
                <w:szCs w:val="22"/>
                <w:lang w:eastAsia="en-AU"/>
              </w:rPr>
              <w:t>,</w:t>
            </w:r>
            <w:r w:rsidRPr="0000289C">
              <w:rPr>
                <w:rFonts w:eastAsia="Times New Roman"/>
                <w:color w:val="000000"/>
                <w:szCs w:val="22"/>
                <w:lang w:eastAsia="en-AU"/>
              </w:rPr>
              <w:t> the</w:t>
            </w:r>
            <w:r w:rsidRPr="0000289C">
              <w:rPr>
                <w:rFonts w:eastAsia="Times New Roman"/>
                <w:i/>
                <w:iCs/>
                <w:color w:val="000000"/>
                <w:szCs w:val="22"/>
                <w:lang w:eastAsia="en-AU"/>
              </w:rPr>
              <w:t> </w:t>
            </w:r>
            <w:r w:rsidRPr="0000289C">
              <w:rPr>
                <w:rFonts w:eastAsia="Times New Roman"/>
                <w:color w:val="000000"/>
                <w:szCs w:val="22"/>
                <w:lang w:eastAsia="en-AU"/>
              </w:rPr>
              <w:t>Fisheries Management (Aquaculture) Regulation 2017</w:t>
            </w:r>
            <w:r w:rsidRPr="0000289C">
              <w:rPr>
                <w:rFonts w:eastAsia="Times New Roman"/>
                <w:i/>
                <w:iCs/>
                <w:color w:val="000000"/>
                <w:szCs w:val="22"/>
                <w:lang w:eastAsia="en-AU"/>
              </w:rPr>
              <w:t> </w:t>
            </w:r>
            <w:r w:rsidRPr="0000289C">
              <w:rPr>
                <w:rFonts w:eastAsia="Times New Roman"/>
                <w:color w:val="000000"/>
                <w:szCs w:val="22"/>
                <w:lang w:eastAsia="en-AU"/>
              </w:rPr>
              <w:t>(NSW) and the Marine Estate Management Regulation 2017 (NSW), but not including:</w:t>
            </w:r>
          </w:p>
          <w:p w:rsidR="006471ED" w:rsidRPr="0000289C" w:rsidRDefault="006471ED" w:rsidP="005A3704">
            <w:pPr>
              <w:ind w:left="357" w:hanging="357"/>
              <w:rPr>
                <w:rFonts w:eastAsia="Times New Roman"/>
                <w:color w:val="000000"/>
                <w:szCs w:val="22"/>
                <w:lang w:eastAsia="en-AU"/>
              </w:rPr>
            </w:pPr>
            <w:r w:rsidRPr="0000289C">
              <w:rPr>
                <w:rFonts w:eastAsia="Times New Roman"/>
                <w:color w:val="000000"/>
                <w:szCs w:val="22"/>
                <w:lang w:eastAsia="en-AU"/>
              </w:rPr>
              <w:t xml:space="preserve">(a)  specimens that belong to taxa listed under section </w:t>
            </w:r>
            <w:r w:rsidRPr="0000289C">
              <w:rPr>
                <w:rFonts w:eastAsia="Times New Roman"/>
                <w:color w:val="000000"/>
                <w:szCs w:val="22"/>
                <w:lang w:eastAsia="en-AU"/>
              </w:rPr>
              <w:lastRenderedPageBreak/>
              <w:t>209 of the EPBC Act (Australia’s List of Migratory Species), or</w:t>
            </w:r>
          </w:p>
          <w:p w:rsidR="006471ED" w:rsidRPr="0000289C" w:rsidRDefault="006471ED" w:rsidP="005A3704">
            <w:pPr>
              <w:ind w:left="357" w:hanging="357"/>
              <w:rPr>
                <w:rFonts w:eastAsia="Times New Roman"/>
                <w:color w:val="000000"/>
                <w:szCs w:val="22"/>
                <w:lang w:eastAsia="en-AU"/>
              </w:rPr>
            </w:pPr>
            <w:r w:rsidRPr="0000289C">
              <w:rPr>
                <w:rFonts w:eastAsia="Times New Roman"/>
                <w:color w:val="000000"/>
                <w:szCs w:val="22"/>
                <w:lang w:eastAsia="en-AU"/>
              </w:rPr>
              <w:t>(b)  specimens that belong to taxa listed under section 248 of the EPBC Act (Australia’s List of Marine Species), or</w:t>
            </w:r>
          </w:p>
          <w:p w:rsidR="006471ED" w:rsidRDefault="006471ED" w:rsidP="005A3704">
            <w:pPr>
              <w:ind w:left="357" w:hanging="357"/>
              <w:rPr>
                <w:rFonts w:eastAsia="Times New Roman"/>
                <w:color w:val="000000"/>
                <w:szCs w:val="22"/>
                <w:lang w:eastAsia="en-AU"/>
              </w:rPr>
            </w:pPr>
            <w:r w:rsidRPr="0000289C">
              <w:rPr>
                <w:rFonts w:eastAsia="Times New Roman"/>
                <w:color w:val="000000"/>
                <w:szCs w:val="22"/>
                <w:lang w:eastAsia="en-AU"/>
              </w:rPr>
              <w:t>(c)  specimens that belong to eligible listed threatened species, as defined under section 303BC of the EPBC Act, or</w:t>
            </w:r>
          </w:p>
          <w:p w:rsidR="006471ED" w:rsidRPr="0000289C" w:rsidRDefault="006471ED" w:rsidP="005A3704">
            <w:pPr>
              <w:ind w:left="357" w:hanging="357"/>
              <w:rPr>
                <w:szCs w:val="22"/>
              </w:rPr>
            </w:pPr>
            <w:r w:rsidRPr="003E3C5F">
              <w:rPr>
                <w:szCs w:val="22"/>
              </w:rPr>
              <w:t>(a)</w:t>
            </w:r>
            <w:r w:rsidRPr="003E3C5F">
              <w:rPr>
                <w:szCs w:val="22"/>
              </w:rPr>
              <w:tab/>
            </w:r>
            <w:r w:rsidRPr="003E3C5F">
              <w:rPr>
                <w:rFonts w:eastAsia="Times New Roman"/>
                <w:color w:val="000000"/>
                <w:szCs w:val="22"/>
                <w:lang w:eastAsia="en-AU"/>
              </w:rPr>
              <w:t>(d)  specimens that belong to taxa listed under section 303CA of the EPBC Act (Australia’s CITES List).</w:t>
            </w:r>
          </w:p>
        </w:tc>
        <w:tc>
          <w:tcPr>
            <w:tcW w:w="2779" w:type="dxa"/>
          </w:tcPr>
          <w:p w:rsidR="006471ED" w:rsidRPr="0000289C" w:rsidRDefault="006471ED" w:rsidP="005A3704">
            <w:pPr>
              <w:rPr>
                <w:szCs w:val="22"/>
              </w:rPr>
            </w:pPr>
            <w:r w:rsidRPr="0000289C">
              <w:rPr>
                <w:bCs/>
                <w:szCs w:val="22"/>
              </w:rPr>
              <w:lastRenderedPageBreak/>
              <w:t>New South Wales Marine Vegetation Fishery</w:t>
            </w:r>
          </w:p>
        </w:tc>
        <w:tc>
          <w:tcPr>
            <w:tcW w:w="2781" w:type="dxa"/>
          </w:tcPr>
          <w:p w:rsidR="006471ED" w:rsidRPr="0000289C" w:rsidRDefault="006471ED" w:rsidP="006471ED">
            <w:pPr>
              <w:pStyle w:val="listbullet0"/>
              <w:numPr>
                <w:ilvl w:val="0"/>
                <w:numId w:val="47"/>
              </w:numPr>
              <w:spacing w:before="0" w:beforeAutospacing="0" w:after="0" w:afterAutospacing="0"/>
              <w:rPr>
                <w:color w:val="000000"/>
                <w:sz w:val="22"/>
                <w:szCs w:val="22"/>
              </w:rPr>
            </w:pPr>
            <w:r w:rsidRPr="0000289C">
              <w:rPr>
                <w:color w:val="000000"/>
                <w:sz w:val="22"/>
                <w:szCs w:val="22"/>
              </w:rPr>
              <w:t>The specimen, or the marine vegetation from which it is derived, was taken lawfully; and</w:t>
            </w:r>
          </w:p>
          <w:p w:rsidR="006471ED" w:rsidRPr="0000289C" w:rsidRDefault="006471ED" w:rsidP="006471ED">
            <w:pPr>
              <w:pStyle w:val="listbullet0"/>
              <w:numPr>
                <w:ilvl w:val="0"/>
                <w:numId w:val="47"/>
              </w:numPr>
              <w:spacing w:before="0" w:beforeAutospacing="0" w:after="0" w:afterAutospacing="0"/>
              <w:rPr>
                <w:szCs w:val="22"/>
              </w:rPr>
            </w:pPr>
            <w:r w:rsidRPr="0000289C">
              <w:rPr>
                <w:color w:val="000000"/>
                <w:sz w:val="22"/>
                <w:szCs w:val="22"/>
              </w:rPr>
              <w:t>The specimens are included in the list until 7 April 2027.</w:t>
            </w:r>
          </w:p>
        </w:tc>
      </w:tr>
    </w:tbl>
    <w:bookmarkEnd w:id="36"/>
    <w:p w:rsidR="006471ED" w:rsidRDefault="006471ED" w:rsidP="006471ED">
      <w:pPr>
        <w:spacing w:before="240" w:after="240"/>
        <w:rPr>
          <w:szCs w:val="22"/>
        </w:rPr>
      </w:pPr>
      <w:r>
        <w:rPr>
          <w:szCs w:val="22"/>
        </w:rPr>
        <w:t>Automatic numbering has resulted in the last paragraph of the Taxon/Item column reading “(a) (d)”.</w:t>
      </w:r>
    </w:p>
    <w:p w:rsidR="006471ED" w:rsidRPr="00384D36" w:rsidRDefault="006471ED" w:rsidP="006471ED">
      <w:pPr>
        <w:rPr>
          <w:szCs w:val="22"/>
        </w:rPr>
      </w:pPr>
      <w:r w:rsidRPr="008C2972">
        <w:rPr>
          <w:szCs w:val="22"/>
        </w:rPr>
        <w:t xml:space="preserve">This compilation was editorially changed to omit </w:t>
      </w:r>
      <w:r>
        <w:rPr>
          <w:szCs w:val="22"/>
        </w:rPr>
        <w:t xml:space="preserve">the </w:t>
      </w:r>
      <w:r w:rsidRPr="008C2972">
        <w:rPr>
          <w:szCs w:val="22"/>
        </w:rPr>
        <w:t>“</w:t>
      </w:r>
      <w:r>
        <w:rPr>
          <w:szCs w:val="22"/>
        </w:rPr>
        <w:t>(a)</w:t>
      </w:r>
      <w:r w:rsidRPr="008C2972">
        <w:rPr>
          <w:szCs w:val="22"/>
        </w:rPr>
        <w:t xml:space="preserve">” </w:t>
      </w:r>
      <w:r>
        <w:rPr>
          <w:szCs w:val="22"/>
        </w:rPr>
        <w:t xml:space="preserve">before “(d)” in the Schedule 1 entry for </w:t>
      </w:r>
      <w:r w:rsidRPr="0000289C">
        <w:rPr>
          <w:bCs/>
          <w:szCs w:val="22"/>
        </w:rPr>
        <w:t>New South Wales Marine Vegetation Fishery</w:t>
      </w:r>
      <w:r>
        <w:rPr>
          <w:szCs w:val="22"/>
        </w:rPr>
        <w:t xml:space="preserve"> to</w:t>
      </w:r>
      <w:r w:rsidRPr="008C2972">
        <w:rPr>
          <w:szCs w:val="22"/>
        </w:rPr>
        <w:t xml:space="preserve"> correct the typographical error.</w:t>
      </w:r>
    </w:p>
    <w:p w:rsidR="007900FE" w:rsidRPr="00BE5F99" w:rsidRDefault="00094B3D" w:rsidP="007900FE">
      <w:pPr>
        <w:pStyle w:val="Head2"/>
        <w:keepLines/>
        <w:spacing w:after="240"/>
      </w:pPr>
      <w:r w:rsidRPr="00094B3D">
        <w:t>Australia New Zealand Food Standards Code – Schedule 20 – Maximum residue limits</w:t>
      </w:r>
      <w:r w:rsidR="007900FE">
        <w:t>, Compilation No. </w:t>
      </w:r>
      <w:r>
        <w:t>76</w:t>
      </w:r>
      <w:r w:rsidR="007900FE">
        <w:t xml:space="preserve">, Registration Date: </w:t>
      </w:r>
      <w:r>
        <w:t>7</w:t>
      </w:r>
      <w:r w:rsidR="007900FE">
        <w:t> May 202</w:t>
      </w:r>
      <w:r w:rsidR="007900FE" w:rsidRPr="00BE5F99">
        <w:t>4 [</w:t>
      </w:r>
      <w:r w:rsidRPr="00094B3D">
        <w:t>F2024C00412</w:t>
      </w:r>
      <w:r w:rsidR="007900FE" w:rsidRPr="00BE5F99">
        <w:t>]</w:t>
      </w:r>
    </w:p>
    <w:p w:rsidR="002B60B3" w:rsidRPr="002B60B3" w:rsidRDefault="002B60B3" w:rsidP="002B60B3">
      <w:pPr>
        <w:spacing w:after="240"/>
        <w:rPr>
          <w:b/>
          <w:sz w:val="24"/>
          <w:szCs w:val="24"/>
        </w:rPr>
      </w:pPr>
      <w:r w:rsidRPr="002B60B3">
        <w:rPr>
          <w:b/>
          <w:sz w:val="24"/>
          <w:szCs w:val="24"/>
        </w:rPr>
        <w:t>Section S20—3 (table entry for Agvet chemical: Maldison)</w:t>
      </w:r>
    </w:p>
    <w:p w:rsidR="002B60B3" w:rsidRPr="004549F1" w:rsidRDefault="002B60B3" w:rsidP="002B60B3">
      <w:pPr>
        <w:spacing w:after="240"/>
        <w:rPr>
          <w:b/>
        </w:rPr>
      </w:pPr>
      <w:r w:rsidRPr="004549F1">
        <w:rPr>
          <w:b/>
        </w:rPr>
        <w:t>Kind of editorial change</w:t>
      </w:r>
    </w:p>
    <w:p w:rsidR="002B60B3" w:rsidRPr="0018341F" w:rsidRDefault="002B60B3" w:rsidP="002B60B3">
      <w:pPr>
        <w:spacing w:after="240"/>
      </w:pPr>
      <w:r w:rsidRPr="00C65320">
        <w:t>Give effect to the misdescribed amendment as intended and change to capitalisation</w:t>
      </w:r>
    </w:p>
    <w:p w:rsidR="002B60B3" w:rsidRPr="004549F1" w:rsidRDefault="002B60B3" w:rsidP="002B60B3">
      <w:pPr>
        <w:spacing w:after="240"/>
        <w:rPr>
          <w:b/>
        </w:rPr>
      </w:pPr>
      <w:r w:rsidRPr="004549F1">
        <w:rPr>
          <w:b/>
        </w:rPr>
        <w:t>Details of editorial change</w:t>
      </w:r>
    </w:p>
    <w:p w:rsidR="002B60B3" w:rsidRDefault="002B60B3" w:rsidP="002B60B3">
      <w:pPr>
        <w:spacing w:after="240"/>
      </w:pPr>
      <w:r>
        <w:t xml:space="preserve">Paragraph 230(z) of the Schedule to the </w:t>
      </w:r>
      <w:r w:rsidRPr="00AE067D">
        <w:rPr>
          <w:i/>
        </w:rPr>
        <w:t>Food Standards (Proposal M1021 – Maximum Residue Limits (2022) – Schedule 20) Variation</w:t>
      </w:r>
      <w:r>
        <w:t xml:space="preserve"> instructs to omit “Citrus fruits [except kumquats]” and substitute “Citrus fruits” in the entry for Agvet chemical: Maldison in section S20—3.</w:t>
      </w:r>
    </w:p>
    <w:p w:rsidR="002B60B3" w:rsidRDefault="002B60B3" w:rsidP="002B60B3">
      <w:pPr>
        <w:spacing w:after="240"/>
      </w:pPr>
      <w:r>
        <w:t>The text “citrus fruits [except kumquats]” also appears in the entry for Agvet chemical: Maldison in section S20—3.</w:t>
      </w:r>
    </w:p>
    <w:p w:rsidR="002B60B3" w:rsidRPr="004549F1" w:rsidRDefault="002B60B3" w:rsidP="002B60B3">
      <w:pPr>
        <w:spacing w:after="240"/>
      </w:pPr>
      <w:r>
        <w:t>This compilation was editorially changed to omit “citrus fruits [except kumquats]” and substitute “citrus fruits” in the entry for Agvet chemical: Maldison in section S20—3 to give effect to the misdescribed amendment as intended and to correct the capitalisation.</w:t>
      </w:r>
    </w:p>
    <w:p w:rsidR="002B60B3" w:rsidRPr="002B60B3" w:rsidRDefault="002B60B3" w:rsidP="00144B39">
      <w:pPr>
        <w:keepNext/>
        <w:keepLines/>
        <w:spacing w:after="240"/>
        <w:rPr>
          <w:b/>
          <w:sz w:val="24"/>
          <w:szCs w:val="24"/>
        </w:rPr>
      </w:pPr>
      <w:r w:rsidRPr="002B60B3">
        <w:rPr>
          <w:b/>
          <w:sz w:val="24"/>
          <w:szCs w:val="24"/>
        </w:rPr>
        <w:lastRenderedPageBreak/>
        <w:t>Section S20—3 (table entry for Agvet chemical: Metolachlor)</w:t>
      </w:r>
    </w:p>
    <w:p w:rsidR="002B60B3" w:rsidRPr="004549F1" w:rsidRDefault="002B60B3" w:rsidP="00144B39">
      <w:pPr>
        <w:keepNext/>
        <w:keepLines/>
        <w:spacing w:after="240"/>
        <w:rPr>
          <w:b/>
        </w:rPr>
      </w:pPr>
      <w:r w:rsidRPr="004549F1">
        <w:rPr>
          <w:b/>
        </w:rPr>
        <w:t>Kind of editorial change</w:t>
      </w:r>
    </w:p>
    <w:p w:rsidR="002B60B3" w:rsidRPr="0018341F" w:rsidRDefault="002B60B3" w:rsidP="00144B39">
      <w:pPr>
        <w:keepNext/>
        <w:keepLines/>
        <w:spacing w:after="240"/>
      </w:pPr>
      <w:r w:rsidRPr="00C65320">
        <w:t>Give effect to the misdescribed amendment as intended</w:t>
      </w:r>
    </w:p>
    <w:p w:rsidR="002B60B3" w:rsidRPr="004549F1" w:rsidRDefault="002B60B3" w:rsidP="002B60B3">
      <w:pPr>
        <w:spacing w:after="240"/>
        <w:rPr>
          <w:b/>
        </w:rPr>
      </w:pPr>
      <w:r w:rsidRPr="004549F1">
        <w:rPr>
          <w:b/>
        </w:rPr>
        <w:t>Details of editorial change</w:t>
      </w:r>
    </w:p>
    <w:p w:rsidR="002B60B3" w:rsidRDefault="002B60B3" w:rsidP="002B60B3">
      <w:pPr>
        <w:spacing w:after="240"/>
      </w:pPr>
      <w:r>
        <w:t xml:space="preserve">Table item 7 of item 143 of the Schedule to the </w:t>
      </w:r>
      <w:r w:rsidRPr="005A03AC">
        <w:rPr>
          <w:i/>
        </w:rPr>
        <w:t>Food Standards (Proposal M1021 – Maximum Residue Limits (2022) – Schedule 20) Variation</w:t>
      </w:r>
      <w:r>
        <w:t xml:space="preserve"> instructs to omit “</w:t>
      </w:r>
      <w:r w:rsidRPr="00221E94">
        <w:t>T*0.05</w:t>
      </w:r>
      <w:r>
        <w:t>” and substitute “</w:t>
      </w:r>
      <w:r w:rsidRPr="00221E94">
        <w:t>*0.05</w:t>
      </w:r>
      <w:r>
        <w:t xml:space="preserve">” in the </w:t>
      </w:r>
      <w:r w:rsidRPr="007D3528">
        <w:rPr>
          <w:rFonts w:cs="Arial"/>
        </w:rPr>
        <w:t>food commodity</w:t>
      </w:r>
      <w:r>
        <w:t xml:space="preserve"> for Dill seed in the entry for Agvet chemical: Metolachlor in section S20—3.</w:t>
      </w:r>
    </w:p>
    <w:p w:rsidR="002B60B3" w:rsidRDefault="002B60B3" w:rsidP="002B60B3">
      <w:pPr>
        <w:spacing w:after="240"/>
      </w:pPr>
      <w:r>
        <w:t>The text “Dill seed” does not appear in the entry for Agvet chemical: Metolachlor in section S20—3. However, “Dill, seed” does appear.</w:t>
      </w:r>
    </w:p>
    <w:p w:rsidR="002B60B3" w:rsidRDefault="002B60B3" w:rsidP="002B60B3">
      <w:pPr>
        <w:spacing w:after="240"/>
      </w:pPr>
      <w:r>
        <w:t>This compilation was editorially changed to omit “</w:t>
      </w:r>
      <w:r w:rsidRPr="00E6290F">
        <w:t>T*0.05</w:t>
      </w:r>
      <w:r>
        <w:t>” and substitute “</w:t>
      </w:r>
      <w:r w:rsidRPr="00E6290F">
        <w:t>*0.05</w:t>
      </w:r>
      <w:r>
        <w:t xml:space="preserve">” in the </w:t>
      </w:r>
      <w:r w:rsidRPr="007D3528">
        <w:rPr>
          <w:rFonts w:cs="Arial"/>
        </w:rPr>
        <w:t>food commodity</w:t>
      </w:r>
      <w:r>
        <w:t xml:space="preserve"> for Dill, seed in the entry for Agvet chemical: Metolachlor in section S20—3 to give effect to the misdescribed amendment as intended.</w:t>
      </w:r>
    </w:p>
    <w:p w:rsidR="002B60B3" w:rsidRPr="002B60B3" w:rsidRDefault="002B60B3" w:rsidP="00AE4841">
      <w:pPr>
        <w:keepNext/>
        <w:keepLines/>
        <w:spacing w:after="240"/>
        <w:rPr>
          <w:b/>
          <w:sz w:val="24"/>
          <w:szCs w:val="24"/>
        </w:rPr>
      </w:pPr>
      <w:r w:rsidRPr="002B60B3">
        <w:rPr>
          <w:b/>
          <w:sz w:val="24"/>
          <w:szCs w:val="24"/>
        </w:rPr>
        <w:t>Section S20—3 (table entry for Agvet chemical: Propiconazole)</w:t>
      </w:r>
    </w:p>
    <w:p w:rsidR="002B60B3" w:rsidRPr="004549F1" w:rsidRDefault="002B60B3" w:rsidP="00AE4841">
      <w:pPr>
        <w:keepNext/>
        <w:keepLines/>
        <w:spacing w:after="240"/>
        <w:rPr>
          <w:b/>
        </w:rPr>
      </w:pPr>
      <w:r w:rsidRPr="004549F1">
        <w:rPr>
          <w:b/>
        </w:rPr>
        <w:t>Kind of editorial change</w:t>
      </w:r>
    </w:p>
    <w:p w:rsidR="002B60B3" w:rsidRPr="0018341F" w:rsidRDefault="002B60B3" w:rsidP="00AE4841">
      <w:pPr>
        <w:keepNext/>
        <w:keepLines/>
        <w:spacing w:after="240"/>
      </w:pPr>
      <w:r w:rsidRPr="0013391D">
        <w:t>Give effect to the misdescribed amendment as intended and reordering of provisions</w:t>
      </w:r>
    </w:p>
    <w:p w:rsidR="002B60B3" w:rsidRPr="004549F1" w:rsidRDefault="002B60B3" w:rsidP="00AE4841">
      <w:pPr>
        <w:keepNext/>
        <w:keepLines/>
        <w:spacing w:after="240"/>
        <w:rPr>
          <w:b/>
        </w:rPr>
      </w:pPr>
      <w:r w:rsidRPr="004549F1">
        <w:rPr>
          <w:b/>
        </w:rPr>
        <w:t>Details of editorial change</w:t>
      </w:r>
    </w:p>
    <w:p w:rsidR="002B60B3" w:rsidRDefault="002B60B3" w:rsidP="002B60B3">
      <w:pPr>
        <w:spacing w:after="240"/>
      </w:pPr>
      <w:r>
        <w:t xml:space="preserve">Item 166 of the Schedule to the </w:t>
      </w:r>
      <w:r w:rsidRPr="002B2862">
        <w:rPr>
          <w:i/>
        </w:rPr>
        <w:t>Food Standards (Proposal M1021 – Maximum Residue Limits (2022) – Schedule 20) Variation</w:t>
      </w:r>
      <w:r>
        <w:t xml:space="preserve"> provides as follows:</w:t>
      </w:r>
    </w:p>
    <w:p w:rsidR="002B60B3" w:rsidRPr="007D3528" w:rsidRDefault="002B60B3" w:rsidP="002B60B3">
      <w:pPr>
        <w:widowControl w:val="0"/>
        <w:spacing w:before="240" w:after="120"/>
        <w:ind w:left="851" w:hanging="851"/>
        <w:rPr>
          <w:rFonts w:cs="Arial"/>
          <w:b/>
        </w:rPr>
      </w:pPr>
      <w:r w:rsidRPr="007D3528">
        <w:rPr>
          <w:rFonts w:ascii="Arial Bold" w:hAnsi="Arial Bold" w:cs="Arial"/>
          <w:b/>
        </w:rPr>
        <w:t>[166]</w:t>
      </w:r>
      <w:r w:rsidRPr="007D3528">
        <w:rPr>
          <w:rFonts w:ascii="Arial Bold" w:hAnsi="Arial Bold" w:cs="Arial"/>
          <w:b/>
        </w:rPr>
        <w:tab/>
      </w:r>
      <w:r w:rsidRPr="007D3528">
        <w:rPr>
          <w:rFonts w:cs="Arial"/>
          <w:b/>
        </w:rPr>
        <w:t>Section S20—3 (table entry for Agvet chemical: Propiconazole)</w:t>
      </w:r>
    </w:p>
    <w:p w:rsidR="002B60B3" w:rsidRPr="007D3528" w:rsidRDefault="002B60B3" w:rsidP="002B60B3">
      <w:pPr>
        <w:tabs>
          <w:tab w:val="left" w:pos="851"/>
        </w:tabs>
        <w:spacing w:before="120" w:after="120"/>
        <w:rPr>
          <w:rFonts w:cs="Arial"/>
        </w:rPr>
      </w:pPr>
      <w:r w:rsidRPr="007D3528">
        <w:rPr>
          <w:rFonts w:cs="Arial"/>
        </w:rPr>
        <w:tab/>
        <w:t>Insert</w:t>
      </w:r>
      <w:r w:rsidRPr="007D3528" w:rsidDel="006563C2">
        <w:rPr>
          <w:rFonts w:cs="Arial"/>
        </w:rPr>
        <w:t xml:space="preserve"> in alphabetical order</w:t>
      </w:r>
      <w:r w:rsidRPr="007D3528">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2B60B3" w:rsidRPr="007D3528" w:rsidTr="005A3704">
        <w:tc>
          <w:tcPr>
            <w:tcW w:w="3539" w:type="dxa"/>
          </w:tcPr>
          <w:p w:rsidR="002B60B3" w:rsidRPr="007D3528" w:rsidRDefault="002B60B3" w:rsidP="005A3704">
            <w:pPr>
              <w:keepLines/>
              <w:spacing w:before="20" w:after="20"/>
              <w:rPr>
                <w:sz w:val="18"/>
                <w:lang w:eastAsia="en-AU"/>
              </w:rPr>
            </w:pPr>
            <w:r w:rsidRPr="007D3528">
              <w:rPr>
                <w:sz w:val="18"/>
                <w:lang w:eastAsia="en-AU"/>
              </w:rPr>
              <w:t>Broccoli, Chinese</w:t>
            </w:r>
          </w:p>
        </w:tc>
        <w:tc>
          <w:tcPr>
            <w:tcW w:w="1134" w:type="dxa"/>
          </w:tcPr>
          <w:p w:rsidR="002B60B3" w:rsidRPr="007D3528" w:rsidRDefault="002B60B3" w:rsidP="005A3704">
            <w:pPr>
              <w:keepLines/>
              <w:spacing w:before="20" w:after="20"/>
              <w:jc w:val="right"/>
              <w:rPr>
                <w:rFonts w:eastAsia="Calibri"/>
                <w:sz w:val="18"/>
              </w:rPr>
            </w:pPr>
            <w:r w:rsidRPr="007D3528">
              <w:rPr>
                <w:rFonts w:eastAsia="Calibri"/>
                <w:sz w:val="18"/>
              </w:rPr>
              <w:t>T1</w:t>
            </w:r>
          </w:p>
        </w:tc>
      </w:tr>
    </w:tbl>
    <w:p w:rsidR="002B60B3" w:rsidRDefault="002B60B3" w:rsidP="002B60B3">
      <w:pPr>
        <w:spacing w:before="240" w:after="240"/>
      </w:pPr>
      <w:r>
        <w:t>However, the existing entries for Boysenberry and Blueberries in the entry for Agvet chemical: Propiconazole in section S20—3 are not in alphabetical order.</w:t>
      </w:r>
    </w:p>
    <w:p w:rsidR="002B60B3" w:rsidRDefault="002B60B3" w:rsidP="002B60B3">
      <w:pPr>
        <w:spacing w:after="240"/>
      </w:pPr>
      <w:r>
        <w:t>This compilation was editorially changed to move the entry for Boysenberry to after the entry for Blueberries and to insert the entry for Broccoli, Chinese after the entry for Boysenberry in the entry for Agvet chemical: Propiconazole in section S20—3 to correct the alphabetical order and to give effect to the misdescribed amendment as intended.</w:t>
      </w:r>
    </w:p>
    <w:p w:rsidR="002B60B3" w:rsidRPr="002B60B3" w:rsidRDefault="002B60B3" w:rsidP="002B60B3">
      <w:pPr>
        <w:spacing w:after="240"/>
        <w:rPr>
          <w:b/>
          <w:sz w:val="24"/>
          <w:szCs w:val="24"/>
        </w:rPr>
      </w:pPr>
      <w:r w:rsidRPr="002B60B3">
        <w:rPr>
          <w:b/>
          <w:sz w:val="24"/>
          <w:szCs w:val="24"/>
        </w:rPr>
        <w:t>Section S20—3 (table entry for Agvet chemical: Trichlorfon)</w:t>
      </w:r>
    </w:p>
    <w:p w:rsidR="002B60B3" w:rsidRPr="004549F1" w:rsidRDefault="002B60B3" w:rsidP="002B60B3">
      <w:pPr>
        <w:spacing w:after="240"/>
        <w:rPr>
          <w:b/>
        </w:rPr>
      </w:pPr>
      <w:r w:rsidRPr="004549F1">
        <w:rPr>
          <w:b/>
        </w:rPr>
        <w:t>Kind of editorial change</w:t>
      </w:r>
    </w:p>
    <w:p w:rsidR="002B60B3" w:rsidRPr="0018341F" w:rsidRDefault="002B60B3" w:rsidP="002B60B3">
      <w:pPr>
        <w:spacing w:after="240"/>
      </w:pPr>
      <w:r w:rsidRPr="002C4603">
        <w:t>Give effect to the misdescribed amendment as intended</w:t>
      </w:r>
    </w:p>
    <w:p w:rsidR="002B60B3" w:rsidRPr="004549F1" w:rsidRDefault="002B60B3" w:rsidP="002B60B3">
      <w:pPr>
        <w:spacing w:after="240"/>
        <w:rPr>
          <w:b/>
        </w:rPr>
      </w:pPr>
      <w:r w:rsidRPr="004549F1">
        <w:rPr>
          <w:b/>
        </w:rPr>
        <w:t>Details of editorial change</w:t>
      </w:r>
    </w:p>
    <w:p w:rsidR="002B60B3" w:rsidRDefault="002B60B3" w:rsidP="002B60B3">
      <w:pPr>
        <w:spacing w:after="240"/>
      </w:pPr>
      <w:r>
        <w:t xml:space="preserve">Table item 2 of item 218 of the Schedule to the </w:t>
      </w:r>
      <w:r w:rsidRPr="00635BE6">
        <w:rPr>
          <w:i/>
        </w:rPr>
        <w:t>Food Standards (Proposal M1021 – Maximum Residue Limits (2022) – Schedule 20) Variation</w:t>
      </w:r>
      <w:r>
        <w:t xml:space="preserve"> instructs to omit “Fruit [except achachairu; assorted tropical and sub-tropical fruits – edible peel; assorted tropical and sub-tropical fruits – inedible peel </w:t>
      </w:r>
      <w:r>
        <w:lastRenderedPageBreak/>
        <w:t>[except tamarillo (tree tomato)]; babaco; berries and other small fruits; dried fruits; loquat; medlar; miracle fruit; quince; rollinia; pomelo; stone fruits (except jujube, Chinese)]” and substitute “Fruit [except as otherwise listed under this chemical]” in the entry for Agvet chemical: Trichlorfon in section S20—3.</w:t>
      </w:r>
    </w:p>
    <w:p w:rsidR="002B60B3" w:rsidRDefault="002B60B3" w:rsidP="002B60B3">
      <w:pPr>
        <w:spacing w:after="240"/>
      </w:pPr>
      <w:r>
        <w:t xml:space="preserve">The text contained in the entry for Agvet chemical: Trichlorfon in section S20—3 does not exactly match the text to be omitted as outlined in table item 2 of item 218 of the Schedule to the </w:t>
      </w:r>
      <w:r w:rsidRPr="00635BE6">
        <w:rPr>
          <w:i/>
        </w:rPr>
        <w:t>Food Standards (Proposal M1021 – Maximum Residue Limits (2022) – Schedule 20) Variation</w:t>
      </w:r>
      <w:r>
        <w:t>.</w:t>
      </w:r>
    </w:p>
    <w:p w:rsidR="002B60B3" w:rsidRPr="004549F1" w:rsidRDefault="002B60B3" w:rsidP="002B60B3">
      <w:pPr>
        <w:spacing w:after="240"/>
      </w:pPr>
      <w:r>
        <w:t>This compilation was editorially changed to omit and substitute the text in the entry for Agvet chemical: Trichlorfon in section S20—3 to give effect to the misdescribed amendment as intended.</w:t>
      </w:r>
    </w:p>
    <w:p w:rsidR="002B60B3" w:rsidRPr="002B60B3" w:rsidRDefault="002B60B3" w:rsidP="00AE4841">
      <w:pPr>
        <w:keepNext/>
        <w:keepLines/>
        <w:spacing w:after="240"/>
        <w:rPr>
          <w:b/>
          <w:sz w:val="24"/>
          <w:szCs w:val="24"/>
        </w:rPr>
      </w:pPr>
      <w:r w:rsidRPr="002B60B3">
        <w:rPr>
          <w:b/>
          <w:sz w:val="24"/>
          <w:szCs w:val="24"/>
        </w:rPr>
        <w:t>Section S20—3 (table entry for Agvet chemical: Trichlorfon)</w:t>
      </w:r>
    </w:p>
    <w:p w:rsidR="002B60B3" w:rsidRPr="004549F1" w:rsidRDefault="002B60B3" w:rsidP="00AE4841">
      <w:pPr>
        <w:keepNext/>
        <w:keepLines/>
        <w:spacing w:after="240"/>
        <w:rPr>
          <w:b/>
        </w:rPr>
      </w:pPr>
      <w:r w:rsidRPr="004549F1">
        <w:rPr>
          <w:b/>
        </w:rPr>
        <w:t>Kind of editorial change</w:t>
      </w:r>
    </w:p>
    <w:p w:rsidR="002B60B3" w:rsidRPr="0018341F" w:rsidRDefault="002B60B3" w:rsidP="00AE4841">
      <w:pPr>
        <w:keepNext/>
        <w:keepLines/>
        <w:spacing w:after="240"/>
      </w:pPr>
      <w:r w:rsidRPr="00870CB6">
        <w:t>Give effect to the misdescribed amendment as intended and change to capitalisation</w:t>
      </w:r>
    </w:p>
    <w:p w:rsidR="002B60B3" w:rsidRPr="004549F1" w:rsidRDefault="002B60B3" w:rsidP="00AE4841">
      <w:pPr>
        <w:keepNext/>
        <w:keepLines/>
        <w:spacing w:after="240"/>
        <w:rPr>
          <w:b/>
        </w:rPr>
      </w:pPr>
      <w:r w:rsidRPr="004549F1">
        <w:rPr>
          <w:b/>
        </w:rPr>
        <w:t>Details of editorial change</w:t>
      </w:r>
    </w:p>
    <w:p w:rsidR="002B60B3" w:rsidRDefault="002B60B3" w:rsidP="002B60B3">
      <w:pPr>
        <w:spacing w:after="240"/>
      </w:pPr>
      <w:r>
        <w:t xml:space="preserve">Item 228 of the Schedule to the </w:t>
      </w:r>
      <w:r w:rsidRPr="00B64497">
        <w:rPr>
          <w:i/>
        </w:rPr>
        <w:t>Food Standards (Proposal M1021 – Maximum Residue Limits (2022) – Schedule 20) Variation</w:t>
      </w:r>
      <w:r>
        <w:t xml:space="preserve"> instructs to omit “perisimmon” (wherever occurring) and substitute “persimmon” in section S20—3.</w:t>
      </w:r>
    </w:p>
    <w:p w:rsidR="002B60B3" w:rsidRDefault="002B60B3" w:rsidP="002B60B3">
      <w:pPr>
        <w:spacing w:after="240"/>
      </w:pPr>
      <w:r>
        <w:t>The word “perisimmon” does not appear in the entry for Agvet chemical: Trichlorfon in section S20—3. However, the word “Perisimmon” does appear.</w:t>
      </w:r>
    </w:p>
    <w:p w:rsidR="002B60B3" w:rsidRDefault="002B60B3" w:rsidP="002B60B3">
      <w:pPr>
        <w:spacing w:after="240"/>
      </w:pPr>
      <w:r>
        <w:t>This compilation was editorially changed to omit “Perisimmon” and substitute “Persimmon” in the entry for Agvet chemical: Trichlorfon in section S20—3 to give effect to the misdescribed amendment as intended and to correct the capitalisation.</w:t>
      </w:r>
    </w:p>
    <w:p w:rsidR="002B60B3" w:rsidRPr="002B60B3" w:rsidRDefault="002B60B3" w:rsidP="002B60B3">
      <w:pPr>
        <w:spacing w:after="240"/>
        <w:rPr>
          <w:b/>
          <w:sz w:val="24"/>
          <w:szCs w:val="24"/>
        </w:rPr>
      </w:pPr>
      <w:r w:rsidRPr="002B60B3">
        <w:rPr>
          <w:b/>
          <w:sz w:val="24"/>
          <w:szCs w:val="24"/>
        </w:rPr>
        <w:t>Section S20—3 (table entry for Agvet chemical: Trifluralin)</w:t>
      </w:r>
    </w:p>
    <w:p w:rsidR="002B60B3" w:rsidRPr="004549F1" w:rsidRDefault="002B60B3" w:rsidP="002B60B3">
      <w:pPr>
        <w:spacing w:after="240"/>
        <w:rPr>
          <w:b/>
        </w:rPr>
      </w:pPr>
      <w:r w:rsidRPr="004549F1">
        <w:rPr>
          <w:b/>
        </w:rPr>
        <w:t>Kind of editorial change</w:t>
      </w:r>
    </w:p>
    <w:p w:rsidR="002B60B3" w:rsidRPr="0018341F" w:rsidRDefault="002B60B3" w:rsidP="002B60B3">
      <w:pPr>
        <w:spacing w:after="240"/>
      </w:pPr>
      <w:r w:rsidRPr="00C65320">
        <w:t>Give effect to the misdescribed amendment as intended</w:t>
      </w:r>
    </w:p>
    <w:p w:rsidR="002B60B3" w:rsidRPr="004549F1" w:rsidRDefault="002B60B3" w:rsidP="002B60B3">
      <w:pPr>
        <w:spacing w:after="240"/>
        <w:rPr>
          <w:b/>
        </w:rPr>
      </w:pPr>
      <w:r w:rsidRPr="004549F1">
        <w:rPr>
          <w:b/>
        </w:rPr>
        <w:t>Details of editorial change</w:t>
      </w:r>
    </w:p>
    <w:p w:rsidR="002B60B3" w:rsidRDefault="002B60B3" w:rsidP="002B60B3">
      <w:pPr>
        <w:spacing w:after="240"/>
      </w:pPr>
      <w:r>
        <w:t xml:space="preserve">Item 223 of the Schedule to the </w:t>
      </w:r>
      <w:r w:rsidRPr="005A03AC">
        <w:rPr>
          <w:i/>
        </w:rPr>
        <w:t>Food Standards (Proposal M1021 – Maximum Residue Limits (2022) – Schedule 20) Variation</w:t>
      </w:r>
      <w:r>
        <w:t xml:space="preserve"> instructs to omit the entry for </w:t>
      </w:r>
      <w:r w:rsidRPr="006E3658">
        <w:t>Burnet, Salad</w:t>
      </w:r>
      <w:r>
        <w:t xml:space="preserve"> from the entry for Agvet chemical: </w:t>
      </w:r>
      <w:r w:rsidRPr="00D0370D">
        <w:t>Trifluralin</w:t>
      </w:r>
      <w:r>
        <w:t xml:space="preserve"> in section S20—3.</w:t>
      </w:r>
    </w:p>
    <w:p w:rsidR="002B60B3" w:rsidRDefault="002B60B3" w:rsidP="002B60B3">
      <w:pPr>
        <w:spacing w:after="240"/>
      </w:pPr>
      <w:r>
        <w:t>The text “</w:t>
      </w:r>
      <w:r w:rsidRPr="006E3658">
        <w:t>Burnet, Salad</w:t>
      </w:r>
      <w:r>
        <w:t xml:space="preserve">” does not appear in the entry for Agvet chemical: </w:t>
      </w:r>
      <w:r w:rsidRPr="00171208">
        <w:t>Trifluralin</w:t>
      </w:r>
      <w:r>
        <w:t xml:space="preserve"> in section S20—3. However, “</w:t>
      </w:r>
      <w:r w:rsidRPr="006E3658">
        <w:t xml:space="preserve">Burnet, </w:t>
      </w:r>
      <w:r>
        <w:t>s</w:t>
      </w:r>
      <w:r w:rsidRPr="006E3658">
        <w:t>alad</w:t>
      </w:r>
      <w:r>
        <w:t>” does appear.</w:t>
      </w:r>
    </w:p>
    <w:p w:rsidR="002B60B3" w:rsidRDefault="002B60B3" w:rsidP="002B60B3">
      <w:pPr>
        <w:spacing w:after="240"/>
      </w:pPr>
      <w:r>
        <w:t xml:space="preserve">This compilation was editorially changed to omit the entry for </w:t>
      </w:r>
      <w:r w:rsidRPr="006E3658">
        <w:t xml:space="preserve">Burnet, </w:t>
      </w:r>
      <w:r>
        <w:t>s</w:t>
      </w:r>
      <w:r w:rsidRPr="006E3658">
        <w:t>alad</w:t>
      </w:r>
      <w:r>
        <w:t xml:space="preserve"> from the entry for Agvet chemical: </w:t>
      </w:r>
      <w:r w:rsidRPr="00171208">
        <w:t>Trifluralin</w:t>
      </w:r>
      <w:r>
        <w:t xml:space="preserve"> in section S20—3 to give effect to the misdescribed amendment as intended.</w:t>
      </w:r>
    </w:p>
    <w:p w:rsidR="002B60B3" w:rsidRPr="002B60B3" w:rsidRDefault="002B60B3" w:rsidP="00144B39">
      <w:pPr>
        <w:keepNext/>
        <w:keepLines/>
        <w:spacing w:after="240"/>
        <w:rPr>
          <w:b/>
          <w:sz w:val="24"/>
          <w:szCs w:val="24"/>
        </w:rPr>
      </w:pPr>
      <w:r w:rsidRPr="002B60B3">
        <w:rPr>
          <w:b/>
          <w:sz w:val="24"/>
          <w:szCs w:val="24"/>
        </w:rPr>
        <w:lastRenderedPageBreak/>
        <w:t>Section S20—3 (table entry for Agvet chemical: Trifluralin)</w:t>
      </w:r>
    </w:p>
    <w:p w:rsidR="002B60B3" w:rsidRPr="004549F1" w:rsidRDefault="002B60B3" w:rsidP="00144B39">
      <w:pPr>
        <w:keepNext/>
        <w:keepLines/>
        <w:spacing w:after="240"/>
        <w:rPr>
          <w:b/>
        </w:rPr>
      </w:pPr>
      <w:r w:rsidRPr="004549F1">
        <w:rPr>
          <w:b/>
        </w:rPr>
        <w:t>Kind of editorial change</w:t>
      </w:r>
    </w:p>
    <w:p w:rsidR="002B60B3" w:rsidRPr="0018341F" w:rsidRDefault="002B60B3" w:rsidP="00144B39">
      <w:pPr>
        <w:keepNext/>
        <w:keepLines/>
        <w:spacing w:after="240"/>
      </w:pPr>
      <w:r w:rsidRPr="00C65320">
        <w:t>Give effect to the misdescribed amendment as intended</w:t>
      </w:r>
    </w:p>
    <w:p w:rsidR="002B60B3" w:rsidRPr="004549F1" w:rsidRDefault="002B60B3" w:rsidP="002B60B3">
      <w:pPr>
        <w:spacing w:after="240"/>
        <w:rPr>
          <w:b/>
        </w:rPr>
      </w:pPr>
      <w:r w:rsidRPr="004549F1">
        <w:rPr>
          <w:b/>
        </w:rPr>
        <w:t>Details of editorial change</w:t>
      </w:r>
    </w:p>
    <w:p w:rsidR="002B60B3" w:rsidRDefault="002B60B3" w:rsidP="002B60B3">
      <w:pPr>
        <w:spacing w:after="240"/>
      </w:pPr>
      <w:r>
        <w:t xml:space="preserve">Table item 3 of item 224 of the Schedule to the </w:t>
      </w:r>
      <w:r w:rsidRPr="005A03AC">
        <w:rPr>
          <w:i/>
        </w:rPr>
        <w:t>Food Standards (Proposal M1021 – Maximum Residue Limits (2022) – Schedule 20) Variation</w:t>
      </w:r>
      <w:r>
        <w:t xml:space="preserve"> instructs to omit “</w:t>
      </w:r>
      <w:r w:rsidRPr="001E1784">
        <w:t xml:space="preserve">T*0.05” </w:t>
      </w:r>
      <w:r>
        <w:t>and substitute “</w:t>
      </w:r>
      <w:r w:rsidRPr="001E1784">
        <w:t>*0.05</w:t>
      </w:r>
      <w:r>
        <w:t xml:space="preserve">” in the </w:t>
      </w:r>
      <w:r w:rsidRPr="007D3528">
        <w:rPr>
          <w:rFonts w:cs="Arial"/>
        </w:rPr>
        <w:t>food commodity</w:t>
      </w:r>
      <w:r>
        <w:t xml:space="preserve"> for Dill seed in the entry for Agvet chemical: </w:t>
      </w:r>
      <w:r w:rsidRPr="00D0370D">
        <w:t>Trifluralin</w:t>
      </w:r>
      <w:r>
        <w:t xml:space="preserve"> in section S20—3.</w:t>
      </w:r>
    </w:p>
    <w:p w:rsidR="002B60B3" w:rsidRDefault="002B60B3" w:rsidP="002B60B3">
      <w:pPr>
        <w:spacing w:after="240"/>
      </w:pPr>
      <w:r>
        <w:t xml:space="preserve">The text “Dill seed” does not appear in the entry for Agvet chemical: </w:t>
      </w:r>
      <w:r w:rsidRPr="00171208">
        <w:t>Trifluralin</w:t>
      </w:r>
      <w:r>
        <w:t xml:space="preserve"> in section S20—3. However, “Dill, seed” does appear.</w:t>
      </w:r>
    </w:p>
    <w:p w:rsidR="002B60B3" w:rsidRPr="00CD783D" w:rsidRDefault="002B60B3" w:rsidP="002B60B3">
      <w:r>
        <w:t>This compilation was editorially changed to omit “</w:t>
      </w:r>
      <w:r w:rsidRPr="001E1784">
        <w:t xml:space="preserve">T*0.05” </w:t>
      </w:r>
      <w:r>
        <w:t>and substitute “</w:t>
      </w:r>
      <w:r w:rsidRPr="001E1784">
        <w:t>*0.05</w:t>
      </w:r>
      <w:r>
        <w:t xml:space="preserve">” in the </w:t>
      </w:r>
      <w:r w:rsidRPr="007D3528">
        <w:rPr>
          <w:rFonts w:cs="Arial"/>
        </w:rPr>
        <w:t>food commodity</w:t>
      </w:r>
      <w:r>
        <w:t xml:space="preserve"> for Dill, seed in the entry for Agvet chemical: </w:t>
      </w:r>
      <w:r w:rsidRPr="00171208">
        <w:t>Trifluralin</w:t>
      </w:r>
      <w:r>
        <w:t xml:space="preserve"> in section S20—3 to give effect to the misdescribed amendment as intended.</w:t>
      </w:r>
    </w:p>
    <w:p w:rsidR="006D44BB" w:rsidRPr="00BE5F99" w:rsidRDefault="006D44BB" w:rsidP="006D44BB">
      <w:pPr>
        <w:pStyle w:val="Head2"/>
        <w:keepLines/>
        <w:spacing w:after="240"/>
      </w:pPr>
      <w:r w:rsidRPr="00251987">
        <w:t>National Capital Plan 1990 (December 1990)</w:t>
      </w:r>
      <w:r>
        <w:t>, Compilation No. 30, Registration Date: 1 May 202</w:t>
      </w:r>
      <w:r w:rsidRPr="00BE5F99">
        <w:t>4 [</w:t>
      </w:r>
      <w:r w:rsidRPr="006D44BB">
        <w:t>F2024C00402</w:t>
      </w:r>
      <w:r w:rsidRPr="00BE5F99">
        <w:t>]</w:t>
      </w:r>
    </w:p>
    <w:p w:rsidR="006D44BB" w:rsidRPr="00251987" w:rsidRDefault="006D44BB" w:rsidP="006D44BB">
      <w:pPr>
        <w:spacing w:after="240"/>
        <w:rPr>
          <w:b/>
          <w:sz w:val="24"/>
          <w:szCs w:val="22"/>
        </w:rPr>
      </w:pPr>
      <w:r w:rsidRPr="00251987">
        <w:rPr>
          <w:b/>
          <w:sz w:val="24"/>
          <w:szCs w:val="22"/>
        </w:rPr>
        <w:t>Section 4.12.5</w:t>
      </w:r>
    </w:p>
    <w:p w:rsidR="006D44BB" w:rsidRPr="00251987" w:rsidRDefault="006D44BB" w:rsidP="006D44BB">
      <w:pPr>
        <w:spacing w:after="240"/>
        <w:rPr>
          <w:b/>
          <w:szCs w:val="22"/>
        </w:rPr>
      </w:pPr>
      <w:r w:rsidRPr="00251987">
        <w:rPr>
          <w:b/>
          <w:szCs w:val="22"/>
        </w:rPr>
        <w:t>Kind of editorial change</w:t>
      </w:r>
    </w:p>
    <w:p w:rsidR="006D44BB" w:rsidRPr="00251987" w:rsidRDefault="006D44BB" w:rsidP="006D44BB">
      <w:pPr>
        <w:spacing w:after="240"/>
        <w:rPr>
          <w:szCs w:val="22"/>
        </w:rPr>
      </w:pPr>
      <w:r w:rsidRPr="00251987">
        <w:rPr>
          <w:szCs w:val="22"/>
        </w:rPr>
        <w:t>Give effect to the misdescribed amendment as intended</w:t>
      </w:r>
    </w:p>
    <w:p w:rsidR="006D44BB" w:rsidRPr="00251987" w:rsidRDefault="006D44BB" w:rsidP="006D44BB">
      <w:pPr>
        <w:spacing w:after="240"/>
        <w:rPr>
          <w:b/>
          <w:szCs w:val="22"/>
        </w:rPr>
      </w:pPr>
      <w:r w:rsidRPr="00251987">
        <w:rPr>
          <w:b/>
          <w:szCs w:val="22"/>
        </w:rPr>
        <w:t>Details of editorial change</w:t>
      </w:r>
    </w:p>
    <w:p w:rsidR="006D44BB" w:rsidRPr="00251987" w:rsidRDefault="006D44BB" w:rsidP="006D44BB">
      <w:pPr>
        <w:spacing w:after="240"/>
        <w:rPr>
          <w:szCs w:val="22"/>
        </w:rPr>
      </w:pPr>
      <w:r w:rsidRPr="00251987">
        <w:rPr>
          <w:szCs w:val="22"/>
        </w:rPr>
        <w:t xml:space="preserve">Schedule 1 item 2 of the </w:t>
      </w:r>
      <w:r w:rsidRPr="00EE5C18">
        <w:rPr>
          <w:i/>
          <w:szCs w:val="22"/>
        </w:rPr>
        <w:t>National Capital Plan Amendment (No.97 – Block 7 Section 4 Yarralumla (former Australian Forestry School)) Amending Instrument</w:t>
      </w:r>
      <w:r w:rsidRPr="00251987">
        <w:rPr>
          <w:szCs w:val="22"/>
        </w:rPr>
        <w:t xml:space="preserve"> provides, in part, as follows:</w:t>
      </w:r>
    </w:p>
    <w:p w:rsidR="006D44BB" w:rsidRPr="00251987" w:rsidRDefault="006D44BB" w:rsidP="006D44BB">
      <w:pPr>
        <w:pStyle w:val="ItemHead"/>
        <w:spacing w:before="0" w:after="240"/>
      </w:pPr>
      <w:r w:rsidRPr="00251987">
        <w:t xml:space="preserve">2  Section 4.12.5 – Detailed conditions of planning, design and development </w:t>
      </w:r>
    </w:p>
    <w:p w:rsidR="006D44BB" w:rsidRPr="00D16E3E" w:rsidRDefault="006D44BB" w:rsidP="006D44BB">
      <w:pPr>
        <w:pStyle w:val="Item"/>
        <w:spacing w:before="0" w:after="240"/>
      </w:pPr>
      <w:r w:rsidRPr="00251987">
        <w:t>Under ‘location specific, insert:</w:t>
      </w:r>
    </w:p>
    <w:p w:rsidR="006D44BB" w:rsidRPr="00251987" w:rsidRDefault="006D44BB" w:rsidP="006D44BB">
      <w:pPr>
        <w:spacing w:after="240"/>
        <w:rPr>
          <w:szCs w:val="22"/>
        </w:rPr>
      </w:pPr>
      <w:r w:rsidRPr="00251987">
        <w:rPr>
          <w:szCs w:val="22"/>
        </w:rPr>
        <w:t>The text “location specific” does not appear in section 4.12.5. However, the text “</w:t>
      </w:r>
      <w:r w:rsidRPr="00EE5C18">
        <w:rPr>
          <w:b/>
          <w:szCs w:val="22"/>
        </w:rPr>
        <w:t>Location specific</w:t>
      </w:r>
      <w:r w:rsidRPr="00251987">
        <w:rPr>
          <w:szCs w:val="22"/>
        </w:rPr>
        <w:t>” does appear.</w:t>
      </w:r>
    </w:p>
    <w:p w:rsidR="006D44BB" w:rsidRPr="00251987" w:rsidRDefault="006D44BB" w:rsidP="006D44BB">
      <w:pPr>
        <w:spacing w:after="240"/>
        <w:rPr>
          <w:szCs w:val="22"/>
        </w:rPr>
      </w:pPr>
      <w:r w:rsidRPr="00251987">
        <w:rPr>
          <w:szCs w:val="22"/>
        </w:rPr>
        <w:t>This compilation was editorially changed to apply the amendment under “</w:t>
      </w:r>
      <w:r w:rsidRPr="00EE5C18">
        <w:rPr>
          <w:b/>
          <w:szCs w:val="22"/>
        </w:rPr>
        <w:t>Location specific</w:t>
      </w:r>
      <w:r w:rsidRPr="00251987">
        <w:rPr>
          <w:szCs w:val="22"/>
        </w:rPr>
        <w:t>” in section 4.12.5 to give effect to the misdescribed amendment as intended.</w:t>
      </w:r>
    </w:p>
    <w:p w:rsidR="006D44BB" w:rsidRPr="00EE5C18" w:rsidRDefault="006D44BB" w:rsidP="006D44BB">
      <w:pPr>
        <w:spacing w:after="240"/>
        <w:rPr>
          <w:b/>
        </w:rPr>
      </w:pPr>
      <w:r w:rsidRPr="00EE5C18">
        <w:rPr>
          <w:b/>
        </w:rPr>
        <w:t>Kind of editorial change</w:t>
      </w:r>
    </w:p>
    <w:p w:rsidR="006D44BB" w:rsidRPr="00EE5C18" w:rsidRDefault="006D44BB" w:rsidP="006D44BB">
      <w:pPr>
        <w:spacing w:after="240"/>
      </w:pPr>
      <w:r w:rsidRPr="00EE5C18">
        <w:t>Renumbering of provisions and updates to cross</w:t>
      </w:r>
      <w:r>
        <w:noBreakHyphen/>
      </w:r>
      <w:r w:rsidRPr="00EE5C18">
        <w:t>references</w:t>
      </w:r>
    </w:p>
    <w:p w:rsidR="006D44BB" w:rsidRPr="00EE5C18" w:rsidRDefault="006D44BB" w:rsidP="006D44BB">
      <w:pPr>
        <w:spacing w:after="240"/>
        <w:rPr>
          <w:b/>
        </w:rPr>
      </w:pPr>
      <w:r w:rsidRPr="00EE5C18">
        <w:rPr>
          <w:b/>
        </w:rPr>
        <w:t>Details of editorial change</w:t>
      </w:r>
    </w:p>
    <w:p w:rsidR="006D44BB" w:rsidRPr="00251987" w:rsidRDefault="006D44BB" w:rsidP="006D44BB">
      <w:pPr>
        <w:spacing w:after="240"/>
      </w:pPr>
      <w:r w:rsidRPr="00EE5C18">
        <w:t xml:space="preserve">Schedule 1 item 2 of the </w:t>
      </w:r>
      <w:r w:rsidRPr="00EE5C18">
        <w:rPr>
          <w:i/>
        </w:rPr>
        <w:t>National Capital Plan Amendment (No.97 – Block 7 Section 4 Yarralumla (former Australian Forestry School)) Amending Instrument</w:t>
      </w:r>
      <w:r w:rsidRPr="00EE5C18">
        <w:t xml:space="preserve"> instructs</w:t>
      </w:r>
      <w:r w:rsidRPr="00251987">
        <w:t>, in part,</w:t>
      </w:r>
      <w:r w:rsidRPr="00EE5C18">
        <w:t xml:space="preserve"> to insert Figure</w:t>
      </w:r>
      <w:r w:rsidRPr="00251987">
        <w:t>s</w:t>
      </w:r>
      <w:r w:rsidRPr="00EE5C18">
        <w:t xml:space="preserve"> 115 and 116 in section 4.12.5. However</w:t>
      </w:r>
      <w:r w:rsidRPr="00251987">
        <w:t>,</w:t>
      </w:r>
      <w:r w:rsidRPr="00EE5C18">
        <w:t xml:space="preserve"> there is already a Figure 115 in section 4.13.1 and a Figure 116 in section 4.13.4.</w:t>
      </w:r>
    </w:p>
    <w:p w:rsidR="006D44BB" w:rsidRPr="00EE5C18" w:rsidRDefault="006D44BB" w:rsidP="006D44BB">
      <w:pPr>
        <w:spacing w:after="240"/>
      </w:pPr>
      <w:r w:rsidRPr="00EE5C18">
        <w:lastRenderedPageBreak/>
        <w:t>This compilation was editorially changed to renumber the Figures as shown in the table below and to update the cross</w:t>
      </w:r>
      <w:r>
        <w:noBreakHyphen/>
      </w:r>
      <w:r w:rsidRPr="00EE5C18">
        <w:t>references to those Figures.</w:t>
      </w:r>
    </w:p>
    <w:tbl>
      <w:tblPr>
        <w:tblW w:w="5670"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835"/>
        <w:gridCol w:w="2835"/>
      </w:tblGrid>
      <w:tr w:rsidR="006D44BB" w:rsidRPr="00251987" w:rsidTr="006D44BB">
        <w:trPr>
          <w:tblHeader/>
        </w:trPr>
        <w:tc>
          <w:tcPr>
            <w:tcW w:w="5669" w:type="dxa"/>
            <w:gridSpan w:val="2"/>
            <w:tcBorders>
              <w:top w:val="single" w:sz="12" w:space="0" w:color="auto"/>
              <w:bottom w:val="single" w:sz="6" w:space="0" w:color="auto"/>
            </w:tcBorders>
            <w:shd w:val="clear" w:color="auto" w:fill="auto"/>
          </w:tcPr>
          <w:p w:rsidR="006D44BB" w:rsidRPr="00251987" w:rsidRDefault="006D44BB" w:rsidP="006D44BB">
            <w:pPr>
              <w:pStyle w:val="TableHeading"/>
            </w:pPr>
            <w:bookmarkStart w:id="37" w:name="_Hlk164153918"/>
            <w:r w:rsidRPr="00251987">
              <w:t>Renumbering</w:t>
            </w:r>
          </w:p>
        </w:tc>
      </w:tr>
      <w:tr w:rsidR="006D44BB" w:rsidRPr="00251987" w:rsidTr="006D44BB">
        <w:trPr>
          <w:tblHeader/>
        </w:trPr>
        <w:tc>
          <w:tcPr>
            <w:tcW w:w="2835" w:type="dxa"/>
            <w:tcBorders>
              <w:top w:val="single" w:sz="6" w:space="0" w:color="auto"/>
              <w:bottom w:val="single" w:sz="12" w:space="0" w:color="auto"/>
            </w:tcBorders>
            <w:shd w:val="clear" w:color="auto" w:fill="auto"/>
          </w:tcPr>
          <w:p w:rsidR="006D44BB" w:rsidRPr="00251987" w:rsidRDefault="006D44BB" w:rsidP="006D44BB">
            <w:pPr>
              <w:pStyle w:val="TableHeading"/>
            </w:pPr>
            <w:r w:rsidRPr="00251987">
              <w:t>Provision</w:t>
            </w:r>
          </w:p>
        </w:tc>
        <w:tc>
          <w:tcPr>
            <w:tcW w:w="2835" w:type="dxa"/>
            <w:tcBorders>
              <w:top w:val="single" w:sz="6" w:space="0" w:color="auto"/>
              <w:bottom w:val="single" w:sz="12" w:space="0" w:color="auto"/>
            </w:tcBorders>
            <w:shd w:val="clear" w:color="auto" w:fill="auto"/>
          </w:tcPr>
          <w:p w:rsidR="006D44BB" w:rsidRPr="00251987" w:rsidRDefault="006D44BB" w:rsidP="006D44BB">
            <w:pPr>
              <w:pStyle w:val="TableHeading"/>
              <w:rPr>
                <w:sz w:val="24"/>
              </w:rPr>
            </w:pPr>
            <w:r w:rsidRPr="00251987">
              <w:t>Renumbered as:</w:t>
            </w:r>
          </w:p>
        </w:tc>
      </w:tr>
      <w:tr w:rsidR="006D44BB" w:rsidRPr="00251987" w:rsidTr="006D44BB">
        <w:tc>
          <w:tcPr>
            <w:tcW w:w="2835" w:type="dxa"/>
            <w:tcBorders>
              <w:top w:val="single" w:sz="12" w:space="0" w:color="auto"/>
            </w:tcBorders>
            <w:shd w:val="clear" w:color="auto" w:fill="auto"/>
          </w:tcPr>
          <w:p w:rsidR="006D44BB" w:rsidRPr="00251987" w:rsidRDefault="006D44BB" w:rsidP="006D44BB">
            <w:pPr>
              <w:pStyle w:val="Tabletext"/>
            </w:pPr>
            <w:r w:rsidRPr="00251987">
              <w:t>Figure 115 (second occurring)</w:t>
            </w:r>
          </w:p>
        </w:tc>
        <w:tc>
          <w:tcPr>
            <w:tcW w:w="2835" w:type="dxa"/>
            <w:tcBorders>
              <w:top w:val="single" w:sz="12" w:space="0" w:color="auto"/>
            </w:tcBorders>
            <w:shd w:val="clear" w:color="auto" w:fill="auto"/>
          </w:tcPr>
          <w:p w:rsidR="006D44BB" w:rsidRPr="00251987" w:rsidRDefault="006D44BB" w:rsidP="006D44BB">
            <w:pPr>
              <w:pStyle w:val="Tabletext"/>
            </w:pPr>
            <w:r w:rsidRPr="00251987">
              <w:t>Figure 117</w:t>
            </w:r>
          </w:p>
        </w:tc>
      </w:tr>
      <w:tr w:rsidR="006D44BB" w:rsidRPr="00251987" w:rsidTr="006D44BB">
        <w:tc>
          <w:tcPr>
            <w:tcW w:w="2835" w:type="dxa"/>
            <w:shd w:val="clear" w:color="auto" w:fill="auto"/>
          </w:tcPr>
          <w:p w:rsidR="006D44BB" w:rsidRPr="00251987" w:rsidRDefault="006D44BB" w:rsidP="006D44BB">
            <w:pPr>
              <w:pStyle w:val="Tabletext"/>
            </w:pPr>
            <w:r w:rsidRPr="00251987">
              <w:t>Figure 116 (second occurring)</w:t>
            </w:r>
          </w:p>
        </w:tc>
        <w:tc>
          <w:tcPr>
            <w:tcW w:w="2835" w:type="dxa"/>
            <w:shd w:val="clear" w:color="auto" w:fill="auto"/>
          </w:tcPr>
          <w:p w:rsidR="006D44BB" w:rsidRPr="00251987" w:rsidRDefault="006D44BB" w:rsidP="006D44BB">
            <w:pPr>
              <w:pStyle w:val="Tabletext"/>
            </w:pPr>
            <w:r w:rsidRPr="00251987">
              <w:t>Figure 118</w:t>
            </w:r>
          </w:p>
        </w:tc>
      </w:tr>
      <w:tr w:rsidR="006D44BB" w:rsidRPr="00251987" w:rsidTr="006D44BB">
        <w:tc>
          <w:tcPr>
            <w:tcW w:w="2835" w:type="dxa"/>
            <w:tcBorders>
              <w:bottom w:val="single" w:sz="2" w:space="0" w:color="auto"/>
            </w:tcBorders>
            <w:shd w:val="clear" w:color="auto" w:fill="auto"/>
          </w:tcPr>
          <w:p w:rsidR="006D44BB" w:rsidRPr="00251987" w:rsidRDefault="006D44BB" w:rsidP="006D44BB">
            <w:pPr>
              <w:pStyle w:val="Tabletext"/>
            </w:pPr>
            <w:r w:rsidRPr="00251987">
              <w:t>Figure 117</w:t>
            </w:r>
          </w:p>
        </w:tc>
        <w:tc>
          <w:tcPr>
            <w:tcW w:w="2835" w:type="dxa"/>
            <w:tcBorders>
              <w:bottom w:val="single" w:sz="2" w:space="0" w:color="auto"/>
            </w:tcBorders>
            <w:shd w:val="clear" w:color="auto" w:fill="auto"/>
          </w:tcPr>
          <w:p w:rsidR="006D44BB" w:rsidRPr="00251987" w:rsidRDefault="006D44BB" w:rsidP="006D44BB">
            <w:pPr>
              <w:pStyle w:val="Tabletext"/>
            </w:pPr>
            <w:r w:rsidRPr="00251987">
              <w:t>Figure 119</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118</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120</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119</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121</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120</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122</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121</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123</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122</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124</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123</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125</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124</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126</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125</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127</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126</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128</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127</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129</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128</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130</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129</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131</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130</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132</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131</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133</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132</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134</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133</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135</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134</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136</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135</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137</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136</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138</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137</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139</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138</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140</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139</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141</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140</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142</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141</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143</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142</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144</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143</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145</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144</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146</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145</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147</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146</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148</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147</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149</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148</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150</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149</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151</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150</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152</w:t>
            </w:r>
          </w:p>
        </w:tc>
      </w:tr>
      <w:tr w:rsidR="006D44BB" w:rsidRPr="00251987" w:rsidTr="006D44BB">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151</w:t>
            </w:r>
          </w:p>
        </w:tc>
        <w:tc>
          <w:tcPr>
            <w:tcW w:w="2835" w:type="dxa"/>
            <w:tcBorders>
              <w:top w:val="single" w:sz="2" w:space="0" w:color="auto"/>
              <w:bottom w:val="single" w:sz="2" w:space="0" w:color="auto"/>
            </w:tcBorders>
            <w:shd w:val="clear" w:color="auto" w:fill="auto"/>
          </w:tcPr>
          <w:p w:rsidR="006D44BB" w:rsidRPr="00251987" w:rsidRDefault="006D44BB" w:rsidP="006D44BB">
            <w:pPr>
              <w:pStyle w:val="Tabletext"/>
            </w:pPr>
            <w:r w:rsidRPr="00251987">
              <w:t>Figure 153</w:t>
            </w:r>
          </w:p>
        </w:tc>
      </w:tr>
      <w:tr w:rsidR="006D44BB" w:rsidRPr="00251987" w:rsidTr="006D44BB">
        <w:tc>
          <w:tcPr>
            <w:tcW w:w="2835" w:type="dxa"/>
            <w:tcBorders>
              <w:top w:val="single" w:sz="2" w:space="0" w:color="auto"/>
              <w:bottom w:val="single" w:sz="12" w:space="0" w:color="auto"/>
            </w:tcBorders>
            <w:shd w:val="clear" w:color="auto" w:fill="auto"/>
          </w:tcPr>
          <w:p w:rsidR="006D44BB" w:rsidRPr="00251987" w:rsidRDefault="006D44BB" w:rsidP="006D44BB">
            <w:pPr>
              <w:pStyle w:val="Tabletext"/>
            </w:pPr>
            <w:r w:rsidRPr="00251987">
              <w:t>Figure 152</w:t>
            </w:r>
          </w:p>
        </w:tc>
        <w:tc>
          <w:tcPr>
            <w:tcW w:w="2835" w:type="dxa"/>
            <w:tcBorders>
              <w:top w:val="single" w:sz="2" w:space="0" w:color="auto"/>
              <w:bottom w:val="single" w:sz="12" w:space="0" w:color="auto"/>
            </w:tcBorders>
            <w:shd w:val="clear" w:color="auto" w:fill="auto"/>
          </w:tcPr>
          <w:p w:rsidR="006D44BB" w:rsidRPr="00251987" w:rsidRDefault="006D44BB" w:rsidP="006D44BB">
            <w:pPr>
              <w:pStyle w:val="Tabletext"/>
            </w:pPr>
            <w:r w:rsidRPr="00251987">
              <w:t>Figure 154</w:t>
            </w:r>
          </w:p>
        </w:tc>
      </w:tr>
    </w:tbl>
    <w:bookmarkEnd w:id="37"/>
    <w:p w:rsidR="00FC1495" w:rsidRPr="00BE5F99" w:rsidRDefault="00FC1495" w:rsidP="00FC1495">
      <w:pPr>
        <w:pStyle w:val="Head2"/>
        <w:keepLines/>
        <w:spacing w:after="240"/>
      </w:pPr>
      <w:r w:rsidRPr="0036697F">
        <w:lastRenderedPageBreak/>
        <w:t>National Redress Scheme for Institutional Child Sexual Abuse Declaration 2018</w:t>
      </w:r>
      <w:r>
        <w:t>, Compilation No. 69, Registration Date: 18 April 202</w:t>
      </w:r>
      <w:r w:rsidRPr="00BE5F99">
        <w:t>4 [</w:t>
      </w:r>
      <w:r w:rsidRPr="00FC1495">
        <w:t>F2024C00379</w:t>
      </w:r>
      <w:r w:rsidRPr="00BE5F99">
        <w:t>]</w:t>
      </w:r>
    </w:p>
    <w:p w:rsidR="00FC1495" w:rsidRPr="004549F1" w:rsidRDefault="00FC1495" w:rsidP="00FC1495">
      <w:pPr>
        <w:spacing w:after="240"/>
        <w:rPr>
          <w:b/>
          <w:sz w:val="24"/>
          <w:szCs w:val="24"/>
        </w:rPr>
      </w:pPr>
      <w:r>
        <w:rPr>
          <w:b/>
          <w:sz w:val="24"/>
          <w:szCs w:val="24"/>
        </w:rPr>
        <w:t>Subparagraphs 8C(1)(a)(i) and (ii)</w:t>
      </w:r>
    </w:p>
    <w:p w:rsidR="00FC1495" w:rsidRPr="004549F1" w:rsidRDefault="00FC1495" w:rsidP="00FC1495">
      <w:pPr>
        <w:spacing w:after="240"/>
        <w:rPr>
          <w:b/>
        </w:rPr>
      </w:pPr>
      <w:r w:rsidRPr="004549F1">
        <w:rPr>
          <w:b/>
        </w:rPr>
        <w:t>Kind of editorial change</w:t>
      </w:r>
    </w:p>
    <w:p w:rsidR="00FC1495" w:rsidRPr="0018341F" w:rsidRDefault="00FC1495" w:rsidP="00FC1495">
      <w:pPr>
        <w:spacing w:after="240"/>
      </w:pPr>
      <w:r w:rsidRPr="006C7DBF">
        <w:t>Numbering or renumbering of provisions</w:t>
      </w:r>
    </w:p>
    <w:p w:rsidR="00FC1495" w:rsidRPr="004549F1" w:rsidRDefault="00FC1495" w:rsidP="00FC1495">
      <w:pPr>
        <w:spacing w:after="240"/>
        <w:rPr>
          <w:b/>
        </w:rPr>
      </w:pPr>
      <w:r w:rsidRPr="004549F1">
        <w:rPr>
          <w:b/>
        </w:rPr>
        <w:t>Details of editorial change</w:t>
      </w:r>
    </w:p>
    <w:p w:rsidR="00FC1495" w:rsidRDefault="00FC1495" w:rsidP="00FC1495">
      <w:pPr>
        <w:spacing w:after="240"/>
      </w:pPr>
      <w:r>
        <w:t xml:space="preserve">Schedule 1 item 1 of the </w:t>
      </w:r>
      <w:r w:rsidRPr="00AC3808">
        <w:rPr>
          <w:i/>
        </w:rPr>
        <w:t>National Redress Scheme for Institutional Child Sexual Abuse Amendment (2024 Measures No. 1) Declaration 2024</w:t>
      </w:r>
      <w:r>
        <w:t xml:space="preserve"> provides as follows:</w:t>
      </w:r>
    </w:p>
    <w:p w:rsidR="00FC1495" w:rsidRPr="00022181" w:rsidRDefault="00FC1495" w:rsidP="00FC1495">
      <w:pPr>
        <w:pStyle w:val="ItemHead"/>
        <w:ind w:left="426" w:hanging="426"/>
      </w:pPr>
      <w:r w:rsidRPr="00022181">
        <w:t>1</w:t>
      </w:r>
      <w:r w:rsidRPr="00022181">
        <w:tab/>
        <w:t>Paragraph 8C(1)(a)</w:t>
      </w:r>
    </w:p>
    <w:p w:rsidR="00FC1495" w:rsidRPr="00022181" w:rsidRDefault="00FC1495" w:rsidP="00FC1495">
      <w:pPr>
        <w:pStyle w:val="Item"/>
        <w:ind w:hanging="223"/>
      </w:pPr>
      <w:r w:rsidRPr="00022181">
        <w:t>Omit the paragraph, and substitute:</w:t>
      </w:r>
    </w:p>
    <w:p w:rsidR="00FC1495" w:rsidRPr="00022181" w:rsidRDefault="00FC1495" w:rsidP="00FC1495">
      <w:pPr>
        <w:pStyle w:val="Item"/>
        <w:ind w:left="1571" w:hanging="360"/>
      </w:pPr>
      <w:r w:rsidRPr="00022181">
        <w:t>(a)</w:t>
      </w:r>
      <w:r w:rsidRPr="00022181">
        <w:tab/>
        <w:t xml:space="preserve">A government entity within the meaning of section 276 of the </w:t>
      </w:r>
      <w:r w:rsidRPr="00022181">
        <w:rPr>
          <w:i/>
        </w:rPr>
        <w:t>Public Sector Act 2022</w:t>
      </w:r>
      <w:r w:rsidRPr="001705E6">
        <w:t xml:space="preserve"> </w:t>
      </w:r>
      <w:r w:rsidRPr="00022181">
        <w:t>(Qld), other than an entity that:</w:t>
      </w:r>
    </w:p>
    <w:p w:rsidR="00FC1495" w:rsidRPr="00022181" w:rsidRDefault="00FC1495" w:rsidP="00FC1495">
      <w:pPr>
        <w:pStyle w:val="Item"/>
        <w:ind w:left="2127" w:hanging="196"/>
      </w:pPr>
      <w:r w:rsidRPr="00022181">
        <w:t>i.</w:t>
      </w:r>
      <w:r w:rsidRPr="00022181">
        <w:tab/>
        <w:t xml:space="preserve">is mentioned in paragraphs 276(1)(b) or (c) of the </w:t>
      </w:r>
      <w:r w:rsidRPr="00022181">
        <w:rPr>
          <w:i/>
        </w:rPr>
        <w:t>Public Sector Act 2022</w:t>
      </w:r>
      <w:r w:rsidRPr="001705E6">
        <w:t xml:space="preserve"> </w:t>
      </w:r>
      <w:r w:rsidRPr="00022181">
        <w:t xml:space="preserve">(Qld); and </w:t>
      </w:r>
    </w:p>
    <w:p w:rsidR="00FC1495" w:rsidRPr="00022181" w:rsidRDefault="00FC1495" w:rsidP="00FC1495">
      <w:pPr>
        <w:pStyle w:val="Item"/>
        <w:ind w:left="2127" w:hanging="196"/>
      </w:pPr>
      <w:r w:rsidRPr="00022181">
        <w:t>ii.</w:t>
      </w:r>
      <w:r w:rsidRPr="00022181">
        <w:tab/>
        <w:t>under a Queensland Act, does not represent the State of Queensland;</w:t>
      </w:r>
    </w:p>
    <w:p w:rsidR="00FC1495" w:rsidRDefault="00FC1495" w:rsidP="00FC1495">
      <w:pPr>
        <w:spacing w:before="240" w:after="240"/>
      </w:pPr>
      <w:r>
        <w:t>The newly substituted paragraph contains subparagraphs 8C(1)(a)i. and ii.</w:t>
      </w:r>
    </w:p>
    <w:p w:rsidR="00FC1495" w:rsidRPr="004549F1" w:rsidRDefault="00FC1495" w:rsidP="00FC1495">
      <w:r>
        <w:t>This compilation was editorially changed by renumbering subparagraphs 8C(1)(a)i. and ii. as subparagraphs 8C(1)(a)(i) and (ii) to maintain numbering consistency within this declaration.</w:t>
      </w:r>
    </w:p>
    <w:p w:rsidR="00CD32B7" w:rsidRPr="00BE5F99" w:rsidRDefault="00CD32B7" w:rsidP="00CD32B7">
      <w:pPr>
        <w:pStyle w:val="Head2"/>
        <w:keepLines/>
        <w:spacing w:after="240"/>
      </w:pPr>
      <w:r w:rsidRPr="003159FB">
        <w:t xml:space="preserve">Environment Protection and Biodiversity Conservation </w:t>
      </w:r>
      <w:r>
        <w:t>Regulations 2</w:t>
      </w:r>
      <w:r w:rsidRPr="003159FB">
        <w:t>000</w:t>
      </w:r>
      <w:r>
        <w:t>, Compilation No. 25, Registration Date: 16 April 202</w:t>
      </w:r>
      <w:r w:rsidRPr="00BE5F99">
        <w:t>4 [</w:t>
      </w:r>
      <w:r w:rsidR="00B1257F" w:rsidRPr="00B1257F">
        <w:t>F2024C00361</w:t>
      </w:r>
      <w:r w:rsidRPr="00BE5F99">
        <w:t>]</w:t>
      </w:r>
    </w:p>
    <w:p w:rsidR="00B1257F" w:rsidRPr="004549F1" w:rsidRDefault="00B1257F" w:rsidP="00B1257F">
      <w:pPr>
        <w:spacing w:after="240"/>
        <w:rPr>
          <w:b/>
          <w:sz w:val="24"/>
          <w:szCs w:val="24"/>
        </w:rPr>
      </w:pPr>
      <w:r>
        <w:rPr>
          <w:b/>
          <w:sz w:val="24"/>
          <w:szCs w:val="24"/>
        </w:rPr>
        <w:t>Subregulation 4</w:t>
      </w:r>
      <w:r w:rsidRPr="00170F0E">
        <w:rPr>
          <w:b/>
          <w:sz w:val="24"/>
          <w:szCs w:val="24"/>
        </w:rPr>
        <w:t>AA.01(4)</w:t>
      </w:r>
    </w:p>
    <w:p w:rsidR="00B1257F" w:rsidRPr="004549F1" w:rsidRDefault="00B1257F" w:rsidP="00B1257F">
      <w:pPr>
        <w:spacing w:after="240"/>
        <w:rPr>
          <w:b/>
        </w:rPr>
      </w:pPr>
      <w:r w:rsidRPr="004549F1">
        <w:rPr>
          <w:b/>
        </w:rPr>
        <w:t>Kind of editorial change</w:t>
      </w:r>
    </w:p>
    <w:p w:rsidR="00B1257F" w:rsidRPr="0018341F" w:rsidRDefault="00B1257F" w:rsidP="00B1257F">
      <w:pPr>
        <w:spacing w:after="240"/>
      </w:pPr>
      <w:r w:rsidRPr="00170F0E">
        <w:t>Correct a typographical error</w:t>
      </w:r>
    </w:p>
    <w:p w:rsidR="00B1257F" w:rsidRPr="004549F1" w:rsidRDefault="00B1257F" w:rsidP="00B1257F">
      <w:pPr>
        <w:spacing w:after="240"/>
        <w:rPr>
          <w:b/>
        </w:rPr>
      </w:pPr>
      <w:r w:rsidRPr="004549F1">
        <w:rPr>
          <w:b/>
        </w:rPr>
        <w:t>Details of editorial change</w:t>
      </w:r>
    </w:p>
    <w:p w:rsidR="00B1257F" w:rsidRDefault="00B1257F" w:rsidP="00B1257F">
      <w:pPr>
        <w:spacing w:after="240"/>
      </w:pPr>
      <w:r>
        <w:t>Subregulation 4AA.01(4) includes the text “For a matter protected under Part 3 of the Act, ar request in relation to paragraph 78(1)(aa) of the Act”.</w:t>
      </w:r>
    </w:p>
    <w:p w:rsidR="00B1257F" w:rsidRPr="004549F1" w:rsidRDefault="00B1257F" w:rsidP="00B1257F">
      <w:pPr>
        <w:spacing w:after="240"/>
      </w:pPr>
      <w:r>
        <w:t>This compilation was editorially changed to omit “ar” and substitute “a” in subregulation 4AA.01(4) to correct the typographical error.</w:t>
      </w:r>
    </w:p>
    <w:p w:rsidR="00B1257F" w:rsidRPr="004549F1" w:rsidRDefault="00B1257F" w:rsidP="00144B39">
      <w:pPr>
        <w:keepNext/>
        <w:keepLines/>
        <w:spacing w:after="240"/>
        <w:rPr>
          <w:b/>
          <w:sz w:val="24"/>
          <w:szCs w:val="24"/>
        </w:rPr>
      </w:pPr>
      <w:r>
        <w:rPr>
          <w:b/>
          <w:sz w:val="24"/>
          <w:szCs w:val="24"/>
        </w:rPr>
        <w:lastRenderedPageBreak/>
        <w:t>Dictionary</w:t>
      </w:r>
    </w:p>
    <w:p w:rsidR="00B1257F" w:rsidRPr="004549F1" w:rsidRDefault="00B1257F" w:rsidP="00144B39">
      <w:pPr>
        <w:keepNext/>
        <w:keepLines/>
        <w:spacing w:after="240"/>
        <w:rPr>
          <w:b/>
        </w:rPr>
      </w:pPr>
      <w:r w:rsidRPr="004549F1">
        <w:rPr>
          <w:b/>
        </w:rPr>
        <w:t>Kind of editorial change</w:t>
      </w:r>
    </w:p>
    <w:p w:rsidR="00B1257F" w:rsidRPr="0018341F" w:rsidRDefault="00B1257F" w:rsidP="00144B39">
      <w:pPr>
        <w:keepNext/>
        <w:keepLines/>
        <w:spacing w:after="240"/>
      </w:pPr>
      <w:r w:rsidRPr="00AD2480">
        <w:t>Reordering of definitions</w:t>
      </w:r>
    </w:p>
    <w:p w:rsidR="00B1257F" w:rsidRPr="004549F1" w:rsidRDefault="00B1257F" w:rsidP="00B1257F">
      <w:pPr>
        <w:spacing w:after="240"/>
        <w:rPr>
          <w:b/>
        </w:rPr>
      </w:pPr>
      <w:r w:rsidRPr="004549F1">
        <w:rPr>
          <w:b/>
        </w:rPr>
        <w:t>Details of editorial change</w:t>
      </w:r>
    </w:p>
    <w:p w:rsidR="00B1257F" w:rsidRDefault="00B1257F" w:rsidP="00B1257F">
      <w:r>
        <w:t xml:space="preserve">This compilation was editorially changed to move the definition of </w:t>
      </w:r>
      <w:r w:rsidRPr="00B57FF2">
        <w:rPr>
          <w:b/>
          <w:i/>
        </w:rPr>
        <w:t>inspector</w:t>
      </w:r>
      <w:r>
        <w:t xml:space="preserve"> in the Dictionary to the correct alphabetical position.</w:t>
      </w:r>
    </w:p>
    <w:p w:rsidR="00F57881" w:rsidRPr="00BE5F99" w:rsidRDefault="00F57881" w:rsidP="000B5B2C">
      <w:pPr>
        <w:pStyle w:val="Head2"/>
        <w:keepLines/>
        <w:spacing w:after="240"/>
      </w:pPr>
      <w:r w:rsidRPr="00BD2E0B">
        <w:t xml:space="preserve">Migration </w:t>
      </w:r>
      <w:r>
        <w:t>Regulations 1</w:t>
      </w:r>
      <w:r w:rsidRPr="00BD2E0B">
        <w:t>994</w:t>
      </w:r>
      <w:r>
        <w:t>, Compilation No. 254, Registration Date: 15 April 202</w:t>
      </w:r>
      <w:r w:rsidRPr="00BE5F99">
        <w:t>4 [</w:t>
      </w:r>
      <w:r w:rsidRPr="00F57881">
        <w:t>F2024C00357</w:t>
      </w:r>
      <w:r w:rsidRPr="00BE5F99">
        <w:t>]</w:t>
      </w:r>
    </w:p>
    <w:p w:rsidR="00F57881" w:rsidRPr="004549F1" w:rsidRDefault="00F57881" w:rsidP="000B5B2C">
      <w:pPr>
        <w:keepNext/>
        <w:keepLines/>
        <w:spacing w:after="240"/>
        <w:rPr>
          <w:b/>
          <w:sz w:val="24"/>
          <w:szCs w:val="24"/>
        </w:rPr>
      </w:pPr>
      <w:bookmarkStart w:id="38" w:name="_Hlk163640934"/>
      <w:bookmarkStart w:id="39" w:name="_Hlk163649682"/>
      <w:r w:rsidRPr="00C2622D">
        <w:rPr>
          <w:b/>
          <w:sz w:val="24"/>
          <w:szCs w:val="24"/>
        </w:rPr>
        <w:t>Subparagraph 8611(a)(ii)</w:t>
      </w:r>
      <w:bookmarkEnd w:id="38"/>
      <w:r w:rsidRPr="00C2622D">
        <w:rPr>
          <w:b/>
          <w:sz w:val="24"/>
          <w:szCs w:val="24"/>
        </w:rPr>
        <w:t xml:space="preserve"> of Schedule 8</w:t>
      </w:r>
    </w:p>
    <w:bookmarkEnd w:id="39"/>
    <w:p w:rsidR="00F57881" w:rsidRPr="004549F1" w:rsidRDefault="00F57881" w:rsidP="000B5B2C">
      <w:pPr>
        <w:keepNext/>
        <w:keepLines/>
        <w:spacing w:after="240"/>
        <w:rPr>
          <w:b/>
        </w:rPr>
      </w:pPr>
      <w:r w:rsidRPr="004549F1">
        <w:rPr>
          <w:b/>
        </w:rPr>
        <w:t>Kind of editorial change</w:t>
      </w:r>
    </w:p>
    <w:p w:rsidR="00F57881" w:rsidRPr="0018341F" w:rsidRDefault="00F57881" w:rsidP="000B5B2C">
      <w:pPr>
        <w:keepNext/>
        <w:keepLines/>
        <w:spacing w:after="240"/>
      </w:pPr>
      <w:r w:rsidRPr="00383173">
        <w:rPr>
          <w:szCs w:val="22"/>
        </w:rPr>
        <w:t>Give effect to the misdescribed amendment as intended</w:t>
      </w:r>
    </w:p>
    <w:p w:rsidR="00F57881" w:rsidRPr="004549F1" w:rsidRDefault="00F57881" w:rsidP="000B5B2C">
      <w:pPr>
        <w:keepNext/>
        <w:keepLines/>
        <w:spacing w:after="240"/>
        <w:rPr>
          <w:b/>
        </w:rPr>
      </w:pPr>
      <w:r w:rsidRPr="004549F1">
        <w:rPr>
          <w:b/>
        </w:rPr>
        <w:t>Details of editorial change</w:t>
      </w:r>
    </w:p>
    <w:p w:rsidR="00F57881" w:rsidRDefault="00F57881" w:rsidP="00F57881">
      <w:pPr>
        <w:spacing w:after="240"/>
        <w:rPr>
          <w:szCs w:val="22"/>
        </w:rPr>
      </w:pPr>
      <w:r>
        <w:t xml:space="preserve">Schedule 1 item 12 of the </w:t>
      </w:r>
      <w:r w:rsidRPr="00481E37">
        <w:rPr>
          <w:i/>
          <w:szCs w:val="22"/>
        </w:rPr>
        <w:t>Migration Amendment (Pacific Australia Labour Mobility Scheme) Regulations 2024</w:t>
      </w:r>
      <w:r>
        <w:rPr>
          <w:szCs w:val="22"/>
        </w:rPr>
        <w:t xml:space="preserve"> provides as follows:</w:t>
      </w:r>
    </w:p>
    <w:p w:rsidR="00F57881" w:rsidRPr="00751CC7" w:rsidRDefault="00F57881" w:rsidP="00F57881">
      <w:pPr>
        <w:pStyle w:val="ItemHead"/>
      </w:pPr>
      <w:bookmarkStart w:id="40" w:name="_Hlk163659792"/>
      <w:r w:rsidRPr="00751CC7">
        <w:t>12  Subparagraph 8611(</w:t>
      </w:r>
      <w:r w:rsidRPr="00644DB7">
        <w:t>1)</w:t>
      </w:r>
      <w:r w:rsidRPr="00751CC7">
        <w:t>(a)(ii) of Schedule 8</w:t>
      </w:r>
    </w:p>
    <w:p w:rsidR="00F57881" w:rsidRPr="00751CC7" w:rsidRDefault="00F57881" w:rsidP="00F57881">
      <w:pPr>
        <w:pStyle w:val="Item"/>
      </w:pPr>
      <w:r w:rsidRPr="00751CC7">
        <w:t>Omit “Foreign Affairs”, substitute “a Department responsible for administering the scheme known as the Pacific Austr</w:t>
      </w:r>
      <w:r w:rsidRPr="001C2B4C">
        <w:t>alia Labour Mobility</w:t>
      </w:r>
      <w:r w:rsidRPr="00751CC7">
        <w:t xml:space="preserve"> scheme”.</w:t>
      </w:r>
    </w:p>
    <w:bookmarkEnd w:id="40"/>
    <w:p w:rsidR="00F57881" w:rsidRDefault="00F57881" w:rsidP="00F57881">
      <w:pPr>
        <w:spacing w:before="240" w:after="240"/>
      </w:pPr>
      <w:r>
        <w:t>S</w:t>
      </w:r>
      <w:r w:rsidRPr="00E20605">
        <w:t>ubparagraph 8611</w:t>
      </w:r>
      <w:r>
        <w:t>(1)</w:t>
      </w:r>
      <w:r w:rsidRPr="00E20605">
        <w:t xml:space="preserve">(a)(ii) </w:t>
      </w:r>
      <w:r>
        <w:t xml:space="preserve">of Schedule 8 </w:t>
      </w:r>
      <w:r w:rsidRPr="00E20605">
        <w:t xml:space="preserve">does not appear. However, subparagraph 8611(a)(ii) </w:t>
      </w:r>
      <w:r>
        <w:t>of Schedule 8</w:t>
      </w:r>
      <w:r w:rsidRPr="00E20605">
        <w:t xml:space="preserve"> does appear.</w:t>
      </w:r>
    </w:p>
    <w:p w:rsidR="00F57881" w:rsidRPr="00CD2A2C" w:rsidRDefault="00F57881" w:rsidP="00F57881">
      <w:r>
        <w:t xml:space="preserve">This compilation was editorially changed to omit </w:t>
      </w:r>
      <w:r w:rsidRPr="00751CC7">
        <w:t xml:space="preserve">“Foreign Affairs” </w:t>
      </w:r>
      <w:r>
        <w:t xml:space="preserve">and </w:t>
      </w:r>
      <w:r w:rsidRPr="00751CC7">
        <w:t>substitute “a Department responsible for administering the scheme known as the Pacific Austr</w:t>
      </w:r>
      <w:r w:rsidRPr="001C2B4C">
        <w:t>alia Labour Mobility</w:t>
      </w:r>
      <w:r w:rsidRPr="00751CC7">
        <w:t xml:space="preserve"> scheme”</w:t>
      </w:r>
      <w:r>
        <w:t xml:space="preserve"> in </w:t>
      </w:r>
      <w:r w:rsidRPr="00E20605">
        <w:t xml:space="preserve">subparagraph 8611(a)(ii) </w:t>
      </w:r>
      <w:r>
        <w:t xml:space="preserve">of Schedule 8 to </w:t>
      </w:r>
      <w:r w:rsidRPr="003F52D5">
        <w:t>give effect to the misdescribed amendment as intended.</w:t>
      </w:r>
    </w:p>
    <w:p w:rsidR="00B613F2" w:rsidRPr="00BE5F99" w:rsidRDefault="00B613F2" w:rsidP="00B613F2">
      <w:pPr>
        <w:pStyle w:val="Head2"/>
        <w:keepLines/>
        <w:spacing w:after="240"/>
      </w:pPr>
      <w:r w:rsidRPr="008A14E4">
        <w:t>National Health (Listing of Pharmaceutical Benefits) Instrument 2012</w:t>
      </w:r>
      <w:r>
        <w:t xml:space="preserve"> (</w:t>
      </w:r>
      <w:r w:rsidRPr="008A14E4">
        <w:t>PB 71 of 2012</w:t>
      </w:r>
      <w:r>
        <w:t>), Compilation No. 140, Registration Date: 8 April 202</w:t>
      </w:r>
      <w:r w:rsidRPr="00BE5F99">
        <w:t>4 [</w:t>
      </w:r>
      <w:r w:rsidRPr="00B613F2">
        <w:t>F2024C00312</w:t>
      </w:r>
      <w:r w:rsidRPr="00BE5F99">
        <w:t>]</w:t>
      </w:r>
    </w:p>
    <w:p w:rsidR="006F5F1A" w:rsidRPr="00E835DB" w:rsidRDefault="006F5F1A" w:rsidP="006F5F1A">
      <w:pPr>
        <w:spacing w:after="240"/>
        <w:rPr>
          <w:rFonts w:cs="Times New Roman"/>
          <w:b/>
          <w:sz w:val="24"/>
          <w:szCs w:val="24"/>
        </w:rPr>
      </w:pPr>
      <w:r w:rsidRPr="00E835DB">
        <w:rPr>
          <w:rFonts w:eastAsia="SimSun" w:cs="Times New Roman"/>
          <w:b/>
          <w:bCs/>
          <w:sz w:val="24"/>
          <w:szCs w:val="24"/>
          <w:lang w:eastAsia="en-AU"/>
        </w:rPr>
        <w:t>Schedule 1, Part 1, entry for Gliclazide in the form Tablet 80 mg</w:t>
      </w:r>
    </w:p>
    <w:p w:rsidR="006F5F1A" w:rsidRPr="004549F1" w:rsidRDefault="006F5F1A" w:rsidP="006F5F1A">
      <w:pPr>
        <w:spacing w:after="240"/>
        <w:rPr>
          <w:b/>
        </w:rPr>
      </w:pPr>
      <w:r w:rsidRPr="004549F1">
        <w:rPr>
          <w:b/>
        </w:rPr>
        <w:t>Kind of editorial change</w:t>
      </w:r>
    </w:p>
    <w:p w:rsidR="006F5F1A" w:rsidRDefault="006F5F1A" w:rsidP="006F5F1A">
      <w:pPr>
        <w:spacing w:after="240"/>
      </w:pPr>
      <w:r w:rsidRPr="00024EE9">
        <w:t>Give effect to the misdescribed amendment as intended</w:t>
      </w:r>
    </w:p>
    <w:p w:rsidR="006F5F1A" w:rsidRPr="004549F1" w:rsidRDefault="006F5F1A" w:rsidP="006F5F1A">
      <w:pPr>
        <w:spacing w:after="240"/>
        <w:rPr>
          <w:b/>
        </w:rPr>
      </w:pPr>
      <w:r w:rsidRPr="004549F1">
        <w:rPr>
          <w:b/>
        </w:rPr>
        <w:t>Details of editorial change</w:t>
      </w:r>
    </w:p>
    <w:p w:rsidR="006F5F1A" w:rsidRDefault="006F5F1A" w:rsidP="006F5F1A">
      <w:pPr>
        <w:spacing w:after="240"/>
      </w:pPr>
      <w:r>
        <w:t xml:space="preserve">Schedule 1 item 47 of the </w:t>
      </w:r>
      <w:r>
        <w:rPr>
          <w:i/>
          <w:iCs/>
          <w:szCs w:val="22"/>
        </w:rPr>
        <w:t>National Health Legislation Amendment (Maximum Dispensed Quantities) Instrument 2024</w:t>
      </w:r>
      <w:r>
        <w:rPr>
          <w:szCs w:val="22"/>
        </w:rPr>
        <w:t xml:space="preserve"> (PB 14 of 2024) instructs to substitute the e</w:t>
      </w:r>
      <w:r w:rsidRPr="00EC70F0">
        <w:rPr>
          <w:szCs w:val="22"/>
        </w:rPr>
        <w:t xml:space="preserve">ntry for Gliclazide in the form Tablet 80 mg (modified release) </w:t>
      </w:r>
      <w:r>
        <w:rPr>
          <w:szCs w:val="22"/>
        </w:rPr>
        <w:t>in Part 1 of Schedule 1.</w:t>
      </w:r>
    </w:p>
    <w:p w:rsidR="006F5F1A" w:rsidRDefault="006F5F1A" w:rsidP="006F5F1A">
      <w:pPr>
        <w:spacing w:after="240"/>
      </w:pPr>
      <w:r>
        <w:lastRenderedPageBreak/>
        <w:t>The form “</w:t>
      </w:r>
      <w:r w:rsidRPr="00EC70F0">
        <w:rPr>
          <w:szCs w:val="22"/>
        </w:rPr>
        <w:t>Tablet 80 mg (modified release)</w:t>
      </w:r>
      <w:r>
        <w:t>” does not appear. However, the form “</w:t>
      </w:r>
      <w:r w:rsidRPr="00EC70F0">
        <w:rPr>
          <w:szCs w:val="22"/>
        </w:rPr>
        <w:t>Tablet</w:t>
      </w:r>
      <w:r>
        <w:rPr>
          <w:szCs w:val="22"/>
        </w:rPr>
        <w:t> </w:t>
      </w:r>
      <w:r w:rsidRPr="00EC70F0">
        <w:rPr>
          <w:szCs w:val="22"/>
        </w:rPr>
        <w:t>80</w:t>
      </w:r>
      <w:r>
        <w:rPr>
          <w:szCs w:val="22"/>
        </w:rPr>
        <w:t> </w:t>
      </w:r>
      <w:r w:rsidRPr="00EC70F0">
        <w:rPr>
          <w:szCs w:val="22"/>
        </w:rPr>
        <w:t>mg</w:t>
      </w:r>
      <w:r>
        <w:t>” does appear.</w:t>
      </w:r>
    </w:p>
    <w:p w:rsidR="006F5F1A" w:rsidRPr="008A14E4" w:rsidRDefault="006F5F1A" w:rsidP="006F5F1A">
      <w:r>
        <w:t xml:space="preserve">This compilation was editorially changed to substitute </w:t>
      </w:r>
      <w:r>
        <w:rPr>
          <w:szCs w:val="22"/>
        </w:rPr>
        <w:t>the e</w:t>
      </w:r>
      <w:r w:rsidRPr="00EC70F0">
        <w:rPr>
          <w:szCs w:val="22"/>
        </w:rPr>
        <w:t xml:space="preserve">ntry for Gliclazide in the form Tablet 80 mg </w:t>
      </w:r>
      <w:r>
        <w:rPr>
          <w:szCs w:val="22"/>
        </w:rPr>
        <w:t>in Part 1 of Schedule 1</w:t>
      </w:r>
      <w:r>
        <w:t xml:space="preserve"> to give effect to the misdescribed amendment as intended.</w:t>
      </w:r>
    </w:p>
    <w:p w:rsidR="00747E84" w:rsidRPr="00BE5F99" w:rsidRDefault="00747E84" w:rsidP="000B5B2C">
      <w:pPr>
        <w:pStyle w:val="Head2"/>
        <w:keepLines/>
        <w:spacing w:after="240"/>
      </w:pPr>
      <w:r w:rsidRPr="0019245E">
        <w:t>Private Health Insurance (Benefit Requirements) Rules 2011</w:t>
      </w:r>
      <w:r>
        <w:t>, Compilation No. </w:t>
      </w:r>
      <w:r w:rsidR="00891B77">
        <w:t>92</w:t>
      </w:r>
      <w:r>
        <w:t>, Registration Date: 5 April 202</w:t>
      </w:r>
      <w:r w:rsidRPr="00BE5F99">
        <w:t>4 [</w:t>
      </w:r>
      <w:r w:rsidR="00891B77" w:rsidRPr="00891B77">
        <w:t>F2024C00305</w:t>
      </w:r>
      <w:r w:rsidRPr="00BE5F99">
        <w:t>]</w:t>
      </w:r>
    </w:p>
    <w:p w:rsidR="00891B77" w:rsidRPr="004549F1" w:rsidRDefault="00891B77" w:rsidP="000B5B2C">
      <w:pPr>
        <w:keepNext/>
        <w:keepLines/>
        <w:spacing w:after="240"/>
        <w:rPr>
          <w:b/>
          <w:sz w:val="24"/>
          <w:szCs w:val="24"/>
        </w:rPr>
      </w:pPr>
      <w:r>
        <w:rPr>
          <w:b/>
          <w:sz w:val="24"/>
          <w:szCs w:val="24"/>
        </w:rPr>
        <w:t>Clause 6 of Schedule 4 (Table 2)</w:t>
      </w:r>
    </w:p>
    <w:p w:rsidR="00891B77" w:rsidRPr="004549F1" w:rsidRDefault="00891B77" w:rsidP="00891B77">
      <w:pPr>
        <w:spacing w:after="240"/>
        <w:rPr>
          <w:b/>
        </w:rPr>
      </w:pPr>
      <w:r w:rsidRPr="004549F1">
        <w:rPr>
          <w:b/>
        </w:rPr>
        <w:t>Kind of editorial change</w:t>
      </w:r>
    </w:p>
    <w:p w:rsidR="00891B77" w:rsidRPr="00681DD0" w:rsidRDefault="00891B77" w:rsidP="00891B77">
      <w:pPr>
        <w:spacing w:after="240"/>
      </w:pPr>
      <w:r>
        <w:t>Give effect to the misdescribed amendment as intended</w:t>
      </w:r>
    </w:p>
    <w:p w:rsidR="00891B77" w:rsidRPr="004549F1" w:rsidRDefault="00891B77" w:rsidP="00891B77">
      <w:pPr>
        <w:spacing w:after="240"/>
        <w:rPr>
          <w:b/>
        </w:rPr>
      </w:pPr>
      <w:r w:rsidRPr="004549F1">
        <w:rPr>
          <w:b/>
        </w:rPr>
        <w:t>Details of editorial change</w:t>
      </w:r>
    </w:p>
    <w:p w:rsidR="00891B77" w:rsidRDefault="00891B77" w:rsidP="00891B77">
      <w:pPr>
        <w:spacing w:after="240"/>
      </w:pPr>
      <w:r>
        <w:t xml:space="preserve">Schedule 2 item 4 of the </w:t>
      </w:r>
      <w:r w:rsidRPr="007F7E45">
        <w:rPr>
          <w:i/>
        </w:rPr>
        <w:t>Private Health Insurance Legislation Amendment Rules (No. 2) 2024</w:t>
      </w:r>
      <w:r>
        <w:t xml:space="preserve"> provides as follows:</w:t>
      </w:r>
    </w:p>
    <w:p w:rsidR="00891B77" w:rsidRPr="0076576A" w:rsidRDefault="00891B77" w:rsidP="00891B77">
      <w:pPr>
        <w:pStyle w:val="ItemHead"/>
      </w:pPr>
      <w:r w:rsidRPr="0076576A">
        <w:t>4  Clause 6 of Schedule 4 (Table 2, table item dealing with Private hospitals, column headed “Minimum benefit per night”)</w:t>
      </w:r>
    </w:p>
    <w:p w:rsidR="00891B77" w:rsidRPr="000724F5" w:rsidRDefault="00891B77" w:rsidP="00891B77">
      <w:pPr>
        <w:pStyle w:val="Item"/>
        <w:spacing w:after="240"/>
      </w:pPr>
      <w:r w:rsidRPr="0076576A">
        <w:t>Omit “$36.90”, substitute “$35.55”.</w:t>
      </w:r>
    </w:p>
    <w:p w:rsidR="00891B77" w:rsidRDefault="00891B77" w:rsidP="00891B77">
      <w:pPr>
        <w:spacing w:after="240"/>
      </w:pPr>
      <w:r>
        <w:t>A column headed “</w:t>
      </w:r>
      <w:r w:rsidRPr="003570EE">
        <w:t>Minimum benefit per night</w:t>
      </w:r>
      <w:r>
        <w:t>” does not appear in Table 2 in clause 6 of Schedule 4, as the table does not contain table column headings. However, a table entry for Private hospitals does appear.</w:t>
      </w:r>
    </w:p>
    <w:p w:rsidR="00891B77" w:rsidRDefault="00891B77" w:rsidP="00891B77">
      <w:r>
        <w:t>This compilation was editorially changed to omit “$36.90” and substitute “$35.55” in the Table 2 entry for Private hospitals in clause 6 of Schedule 4 to give effect to the misdescribed amendment as intended.</w:t>
      </w:r>
    </w:p>
    <w:p w:rsidR="001F6AEB" w:rsidRPr="00BE5F99" w:rsidRDefault="001F6AEB" w:rsidP="001F6AEB">
      <w:pPr>
        <w:pStyle w:val="Head2"/>
        <w:keepLines/>
        <w:spacing w:after="240"/>
      </w:pPr>
      <w:r w:rsidRPr="0064266A">
        <w:t>Safety, Rehabilitation and Compensation Act 1988</w:t>
      </w:r>
      <w:r>
        <w:t xml:space="preserve">, Compilation No. 78, Registration Date: </w:t>
      </w:r>
      <w:r w:rsidR="00505ABF">
        <w:t>5</w:t>
      </w:r>
      <w:r>
        <w:t> April 202</w:t>
      </w:r>
      <w:r w:rsidRPr="00BE5F99">
        <w:t>4 [</w:t>
      </w:r>
      <w:r w:rsidR="00505ABF" w:rsidRPr="00505ABF">
        <w:t>C2024C00121</w:t>
      </w:r>
      <w:r w:rsidRPr="00BE5F99">
        <w:t>]</w:t>
      </w:r>
    </w:p>
    <w:p w:rsidR="00505ABF" w:rsidRPr="0064266A" w:rsidRDefault="00505ABF" w:rsidP="00505ABF">
      <w:pPr>
        <w:spacing w:after="240"/>
        <w:rPr>
          <w:b/>
          <w:sz w:val="24"/>
          <w:szCs w:val="24"/>
        </w:rPr>
      </w:pPr>
      <w:r>
        <w:rPr>
          <w:b/>
          <w:sz w:val="24"/>
          <w:szCs w:val="24"/>
        </w:rPr>
        <w:t>Section 9</w:t>
      </w:r>
      <w:r w:rsidRPr="0064266A">
        <w:rPr>
          <w:b/>
          <w:sz w:val="24"/>
          <w:szCs w:val="24"/>
        </w:rPr>
        <w:t>9</w:t>
      </w:r>
    </w:p>
    <w:p w:rsidR="00505ABF" w:rsidRPr="0064266A" w:rsidRDefault="00505ABF" w:rsidP="00505ABF">
      <w:pPr>
        <w:spacing w:after="240"/>
        <w:rPr>
          <w:b/>
        </w:rPr>
      </w:pPr>
      <w:r w:rsidRPr="0064266A">
        <w:rPr>
          <w:b/>
        </w:rPr>
        <w:t>Kind of editorial change</w:t>
      </w:r>
    </w:p>
    <w:p w:rsidR="00505ABF" w:rsidRPr="0064266A" w:rsidRDefault="00505ABF" w:rsidP="00505ABF">
      <w:pPr>
        <w:spacing w:after="240"/>
      </w:pPr>
      <w:r w:rsidRPr="0064266A">
        <w:t>Reordering of definitions</w:t>
      </w:r>
    </w:p>
    <w:p w:rsidR="00505ABF" w:rsidRPr="0064266A" w:rsidRDefault="00505ABF" w:rsidP="00505ABF">
      <w:pPr>
        <w:spacing w:after="240"/>
        <w:rPr>
          <w:b/>
        </w:rPr>
      </w:pPr>
      <w:r w:rsidRPr="0064266A">
        <w:rPr>
          <w:b/>
        </w:rPr>
        <w:t>Details of editorial change</w:t>
      </w:r>
    </w:p>
    <w:p w:rsidR="00505ABF" w:rsidRPr="0064266A" w:rsidRDefault="00505ABF" w:rsidP="00505ABF">
      <w:r w:rsidRPr="0064266A">
        <w:t xml:space="preserve">This compilation was editorially changed to move the definition of </w:t>
      </w:r>
      <w:r w:rsidRPr="0064266A">
        <w:rPr>
          <w:b/>
          <w:i/>
        </w:rPr>
        <w:t>eligible applicant</w:t>
      </w:r>
      <w:r w:rsidRPr="0064266A">
        <w:t xml:space="preserve"> to the correct alphabetical position.</w:t>
      </w:r>
    </w:p>
    <w:p w:rsidR="00BB3CF6" w:rsidRPr="00BE5F99" w:rsidRDefault="00BB3CF6" w:rsidP="000B5B2C">
      <w:pPr>
        <w:pStyle w:val="Head2"/>
        <w:keepLines/>
        <w:spacing w:after="240"/>
      </w:pPr>
      <w:r w:rsidRPr="001D4F80">
        <w:lastRenderedPageBreak/>
        <w:t>Classification (Publications, Films and Computer Games) (Modifications of Computer Games) Instrument 2015</w:t>
      </w:r>
      <w:r>
        <w:t>, Compilation No. 1, Registration Date: 4 April 202</w:t>
      </w:r>
      <w:r w:rsidRPr="00BE5F99">
        <w:t>4 [</w:t>
      </w:r>
      <w:r w:rsidR="00686300" w:rsidRPr="00686300">
        <w:t>F2024C00300</w:t>
      </w:r>
      <w:r w:rsidRPr="00BE5F99">
        <w:t>]</w:t>
      </w:r>
    </w:p>
    <w:p w:rsidR="00686300" w:rsidRPr="004549F1" w:rsidRDefault="00686300" w:rsidP="000B5B2C">
      <w:pPr>
        <w:keepNext/>
        <w:keepLines/>
        <w:spacing w:after="240"/>
        <w:rPr>
          <w:b/>
          <w:sz w:val="24"/>
          <w:szCs w:val="24"/>
        </w:rPr>
      </w:pPr>
      <w:r>
        <w:rPr>
          <w:b/>
          <w:sz w:val="24"/>
          <w:szCs w:val="24"/>
        </w:rPr>
        <w:t>Paragraph 8(1)(b)</w:t>
      </w:r>
    </w:p>
    <w:p w:rsidR="00686300" w:rsidRPr="004549F1" w:rsidRDefault="00686300" w:rsidP="000B5B2C">
      <w:pPr>
        <w:keepNext/>
        <w:keepLines/>
        <w:spacing w:after="240"/>
        <w:rPr>
          <w:b/>
        </w:rPr>
      </w:pPr>
      <w:r w:rsidRPr="004549F1">
        <w:rPr>
          <w:b/>
        </w:rPr>
        <w:t>Kind of editorial change</w:t>
      </w:r>
    </w:p>
    <w:p w:rsidR="00686300" w:rsidRPr="0018341F" w:rsidRDefault="00686300" w:rsidP="000B5B2C">
      <w:pPr>
        <w:keepNext/>
        <w:keepLines/>
        <w:spacing w:after="240"/>
      </w:pPr>
      <w:r w:rsidRPr="006A103D">
        <w:t>Change to punctuation</w:t>
      </w:r>
    </w:p>
    <w:p w:rsidR="00686300" w:rsidRPr="004549F1" w:rsidRDefault="00686300" w:rsidP="000B5B2C">
      <w:pPr>
        <w:keepNext/>
        <w:keepLines/>
        <w:spacing w:after="240"/>
        <w:rPr>
          <w:b/>
        </w:rPr>
      </w:pPr>
      <w:r w:rsidRPr="004549F1">
        <w:rPr>
          <w:b/>
        </w:rPr>
        <w:t>Details of editorial change</w:t>
      </w:r>
    </w:p>
    <w:p w:rsidR="00686300" w:rsidRDefault="00686300" w:rsidP="00686300">
      <w:pPr>
        <w:spacing w:after="240"/>
      </w:pPr>
      <w:r>
        <w:t xml:space="preserve">Schedule 3 item 1 of the </w:t>
      </w:r>
      <w:r w:rsidRPr="009B74B4">
        <w:rPr>
          <w:i/>
        </w:rPr>
        <w:t>Classification (Publications, Films and Computer Games) Legislation Amendment Instrument 2024</w:t>
      </w:r>
      <w:r>
        <w:t xml:space="preserve"> provides as follows:</w:t>
      </w:r>
    </w:p>
    <w:p w:rsidR="00686300" w:rsidRDefault="00686300" w:rsidP="00686300">
      <w:pPr>
        <w:pStyle w:val="ItemHead"/>
      </w:pPr>
      <w:r>
        <w:t>1  Paragraph 8(1)(b)</w:t>
      </w:r>
    </w:p>
    <w:p w:rsidR="00686300" w:rsidRDefault="00686300" w:rsidP="00686300">
      <w:pPr>
        <w:pStyle w:val="Item"/>
        <w:spacing w:after="240"/>
      </w:pPr>
      <w:r>
        <w:t xml:space="preserve">After “section 6”, insert “; or”. </w:t>
      </w:r>
    </w:p>
    <w:p w:rsidR="00686300" w:rsidRDefault="00686300" w:rsidP="00686300">
      <w:pPr>
        <w:spacing w:after="240"/>
      </w:pPr>
      <w:r>
        <w:t>This amendment results in the text “; or.” at the end of paragraph 8(1)(b).</w:t>
      </w:r>
    </w:p>
    <w:p w:rsidR="00686300" w:rsidRPr="001D4F80" w:rsidRDefault="00686300" w:rsidP="00686300">
      <w:r>
        <w:t xml:space="preserve">This compilation was editorially changed to omit the full stop in paragraph 8(1)(b) </w:t>
      </w:r>
      <w:r w:rsidRPr="006A103D">
        <w:t>to correct the punctuation</w:t>
      </w:r>
      <w:r>
        <w:t>.</w:t>
      </w:r>
    </w:p>
    <w:p w:rsidR="00375720" w:rsidRPr="00BE5F99" w:rsidRDefault="00434F97" w:rsidP="00AE4841">
      <w:pPr>
        <w:pStyle w:val="Head2"/>
        <w:keepLines/>
        <w:spacing w:after="240"/>
      </w:pPr>
      <w:r w:rsidRPr="00DE0B98">
        <w:t>Classification (Publications, Films and Computer Games) (Modifications of Films) Instrument 2015</w:t>
      </w:r>
      <w:r w:rsidR="00375720">
        <w:t>, Compilation No. </w:t>
      </w:r>
      <w:r>
        <w:t>2</w:t>
      </w:r>
      <w:r w:rsidR="00375720">
        <w:t>, Registration Date: 4 April 202</w:t>
      </w:r>
      <w:r w:rsidR="00375720" w:rsidRPr="00BE5F99">
        <w:t>4 [</w:t>
      </w:r>
      <w:r w:rsidRPr="00434F97">
        <w:t>F2024C00302</w:t>
      </w:r>
      <w:r w:rsidR="00375720" w:rsidRPr="00BE5F99">
        <w:t>]</w:t>
      </w:r>
    </w:p>
    <w:p w:rsidR="00434F97" w:rsidRPr="004549F1" w:rsidRDefault="00434F97" w:rsidP="00AE4841">
      <w:pPr>
        <w:keepNext/>
        <w:keepLines/>
        <w:spacing w:after="240"/>
        <w:rPr>
          <w:b/>
          <w:sz w:val="24"/>
          <w:szCs w:val="24"/>
        </w:rPr>
      </w:pPr>
      <w:r>
        <w:rPr>
          <w:b/>
          <w:sz w:val="24"/>
          <w:szCs w:val="24"/>
        </w:rPr>
        <w:t>Paragraph 6(1)(b)</w:t>
      </w:r>
    </w:p>
    <w:p w:rsidR="00434F97" w:rsidRPr="004549F1" w:rsidRDefault="00434F97" w:rsidP="00AE4841">
      <w:pPr>
        <w:keepNext/>
        <w:keepLines/>
        <w:spacing w:after="240"/>
        <w:rPr>
          <w:b/>
        </w:rPr>
      </w:pPr>
      <w:r w:rsidRPr="004549F1">
        <w:rPr>
          <w:b/>
        </w:rPr>
        <w:t>Kind of editorial change</w:t>
      </w:r>
    </w:p>
    <w:p w:rsidR="00434F97" w:rsidRPr="0018341F" w:rsidRDefault="00434F97" w:rsidP="00434F97">
      <w:pPr>
        <w:spacing w:after="240"/>
      </w:pPr>
      <w:r w:rsidRPr="004C77F4">
        <w:t>Change to punctuation</w:t>
      </w:r>
    </w:p>
    <w:p w:rsidR="00434F97" w:rsidRPr="004549F1" w:rsidRDefault="00434F97" w:rsidP="00434F97">
      <w:pPr>
        <w:spacing w:after="240"/>
        <w:rPr>
          <w:b/>
        </w:rPr>
      </w:pPr>
      <w:r w:rsidRPr="004549F1">
        <w:rPr>
          <w:b/>
        </w:rPr>
        <w:t>Details of editorial change</w:t>
      </w:r>
    </w:p>
    <w:p w:rsidR="00434F97" w:rsidRDefault="00434F97" w:rsidP="00434F97">
      <w:r>
        <w:t xml:space="preserve">Schedule 2 item 1 of the </w:t>
      </w:r>
      <w:r>
        <w:rPr>
          <w:i/>
          <w:iCs/>
        </w:rPr>
        <w:t>Classification (Publications, Films and Computer Games) Legislation Amendment Instrument 2024</w:t>
      </w:r>
      <w:r>
        <w:t xml:space="preserve"> provides as follows:</w:t>
      </w:r>
    </w:p>
    <w:p w:rsidR="00434F97" w:rsidRDefault="00434F97" w:rsidP="00434F97">
      <w:pPr>
        <w:pStyle w:val="ItemHead"/>
      </w:pPr>
      <w:r>
        <w:t>1  Paragraph 6(1)(b)</w:t>
      </w:r>
    </w:p>
    <w:p w:rsidR="00434F97" w:rsidRDefault="00434F97" w:rsidP="00434F97">
      <w:pPr>
        <w:pStyle w:val="Item"/>
      </w:pPr>
      <w:r>
        <w:t>After “section 5”, insert “; or”.</w:t>
      </w:r>
    </w:p>
    <w:p w:rsidR="00434F97" w:rsidRDefault="00434F97" w:rsidP="00434F97">
      <w:pPr>
        <w:spacing w:before="240"/>
      </w:pPr>
      <w:r>
        <w:t>This amendment results in the text “; or.” at the end of paragraph 6(1)(b).</w:t>
      </w:r>
    </w:p>
    <w:p w:rsidR="00434F97" w:rsidRDefault="00434F97" w:rsidP="00434F97">
      <w:pPr>
        <w:spacing w:before="240"/>
      </w:pPr>
      <w:r>
        <w:t>This compilation was editorially changed to omit the full stop in paragraph 6(1)(b) to correct the punctuation.</w:t>
      </w:r>
    </w:p>
    <w:p w:rsidR="008A129B" w:rsidRPr="00BE5F99" w:rsidRDefault="008A129B" w:rsidP="00676326">
      <w:pPr>
        <w:pStyle w:val="Head2"/>
        <w:keepLines/>
        <w:spacing w:after="240"/>
      </w:pPr>
      <w:r w:rsidRPr="00BF3509">
        <w:lastRenderedPageBreak/>
        <w:t>National Environment Protection Measures (Implementation) Act 1998</w:t>
      </w:r>
      <w:r>
        <w:t>, Compilation No. 8, Registration Date: 4 April 202</w:t>
      </w:r>
      <w:r w:rsidRPr="00BE5F99">
        <w:t>4 [</w:t>
      </w:r>
      <w:r w:rsidR="007C3C45" w:rsidRPr="007C3C45">
        <w:t>C2024C00115</w:t>
      </w:r>
      <w:r w:rsidRPr="00BE5F99">
        <w:t>]</w:t>
      </w:r>
    </w:p>
    <w:p w:rsidR="007C3C45" w:rsidRPr="004549F1" w:rsidRDefault="007C3C45" w:rsidP="00676326">
      <w:pPr>
        <w:keepNext/>
        <w:keepLines/>
        <w:spacing w:after="240"/>
        <w:rPr>
          <w:b/>
          <w:sz w:val="24"/>
          <w:szCs w:val="24"/>
        </w:rPr>
      </w:pPr>
      <w:r>
        <w:rPr>
          <w:b/>
          <w:sz w:val="24"/>
          <w:szCs w:val="24"/>
        </w:rPr>
        <w:t>Section 5</w:t>
      </w:r>
    </w:p>
    <w:p w:rsidR="007C3C45" w:rsidRPr="004549F1" w:rsidRDefault="007C3C45" w:rsidP="007C3C45">
      <w:pPr>
        <w:spacing w:after="240"/>
        <w:rPr>
          <w:b/>
        </w:rPr>
      </w:pPr>
      <w:r w:rsidRPr="004549F1">
        <w:rPr>
          <w:b/>
        </w:rPr>
        <w:t>Kind of editorial change</w:t>
      </w:r>
    </w:p>
    <w:p w:rsidR="007C3C45" w:rsidRPr="0018341F" w:rsidRDefault="007C3C45" w:rsidP="007C3C45">
      <w:pPr>
        <w:spacing w:after="240"/>
      </w:pPr>
      <w:r w:rsidRPr="00403066">
        <w:t>Reordering of definitions</w:t>
      </w:r>
    </w:p>
    <w:p w:rsidR="007C3C45" w:rsidRPr="004549F1" w:rsidRDefault="007C3C45" w:rsidP="007C3C45">
      <w:pPr>
        <w:spacing w:after="240"/>
        <w:rPr>
          <w:b/>
        </w:rPr>
      </w:pPr>
      <w:r w:rsidRPr="004549F1">
        <w:rPr>
          <w:b/>
        </w:rPr>
        <w:t>Details of editorial change</w:t>
      </w:r>
    </w:p>
    <w:p w:rsidR="007C3C45" w:rsidRPr="004549F1" w:rsidRDefault="007C3C45" w:rsidP="007C3C45">
      <w:r w:rsidRPr="00027C4C">
        <w:t xml:space="preserve">This compilation was editorially changed to move the definition of </w:t>
      </w:r>
      <w:r w:rsidRPr="00BF3509">
        <w:rPr>
          <w:b/>
          <w:i/>
        </w:rPr>
        <w:t>environmental impact statement</w:t>
      </w:r>
      <w:r>
        <w:rPr>
          <w:b/>
          <w:i/>
        </w:rPr>
        <w:t xml:space="preserve"> </w:t>
      </w:r>
      <w:r w:rsidRPr="00027C4C">
        <w:t>in section</w:t>
      </w:r>
      <w:r>
        <w:t> 5</w:t>
      </w:r>
      <w:r w:rsidRPr="00027C4C">
        <w:t xml:space="preserve"> to the correct alphabetical position.</w:t>
      </w:r>
    </w:p>
    <w:p w:rsidR="00D3141E" w:rsidRPr="00BE5F99" w:rsidRDefault="00D3141E" w:rsidP="00D3141E">
      <w:pPr>
        <w:pStyle w:val="Head2"/>
        <w:keepLines/>
        <w:spacing w:after="240"/>
      </w:pPr>
      <w:r w:rsidRPr="00614CAF">
        <w:t>Protection of the Sea (Civil Liability) Act 1981</w:t>
      </w:r>
      <w:r>
        <w:t xml:space="preserve">, Compilation No. 20, Registration Date: </w:t>
      </w:r>
      <w:r w:rsidR="00274C39">
        <w:t>4</w:t>
      </w:r>
      <w:r>
        <w:t> April 202</w:t>
      </w:r>
      <w:r w:rsidRPr="00BE5F99">
        <w:t>4 [</w:t>
      </w:r>
      <w:r w:rsidR="00274C39" w:rsidRPr="00274C39">
        <w:t>C2024C00116</w:t>
      </w:r>
      <w:r w:rsidRPr="00BE5F99">
        <w:t>]</w:t>
      </w:r>
    </w:p>
    <w:p w:rsidR="00274C39" w:rsidRPr="004549F1" w:rsidRDefault="00274C39" w:rsidP="00274C39">
      <w:pPr>
        <w:spacing w:after="240"/>
        <w:rPr>
          <w:b/>
          <w:sz w:val="24"/>
          <w:szCs w:val="24"/>
        </w:rPr>
      </w:pPr>
      <w:r>
        <w:rPr>
          <w:b/>
          <w:sz w:val="24"/>
          <w:szCs w:val="24"/>
        </w:rPr>
        <w:t>Subsection 3(1)</w:t>
      </w:r>
    </w:p>
    <w:p w:rsidR="00274C39" w:rsidRPr="004549F1" w:rsidRDefault="00274C39" w:rsidP="00274C39">
      <w:pPr>
        <w:spacing w:after="240"/>
        <w:rPr>
          <w:b/>
        </w:rPr>
      </w:pPr>
      <w:r w:rsidRPr="004549F1">
        <w:rPr>
          <w:b/>
        </w:rPr>
        <w:t>Kind of editorial change</w:t>
      </w:r>
    </w:p>
    <w:p w:rsidR="00274C39" w:rsidRPr="0018341F" w:rsidRDefault="00274C39" w:rsidP="00274C39">
      <w:pPr>
        <w:spacing w:after="240"/>
      </w:pPr>
      <w:r w:rsidRPr="0051693B">
        <w:rPr>
          <w:szCs w:val="22"/>
        </w:rPr>
        <w:t>Reordering of definitions</w:t>
      </w:r>
    </w:p>
    <w:p w:rsidR="00274C39" w:rsidRPr="004549F1" w:rsidRDefault="00274C39" w:rsidP="00274C39">
      <w:pPr>
        <w:spacing w:after="240"/>
        <w:rPr>
          <w:b/>
        </w:rPr>
      </w:pPr>
      <w:r w:rsidRPr="004549F1">
        <w:rPr>
          <w:b/>
        </w:rPr>
        <w:t>Details of editorial change</w:t>
      </w:r>
    </w:p>
    <w:p w:rsidR="00274C39" w:rsidRDefault="00274C39" w:rsidP="00274C39">
      <w:r w:rsidRPr="005C4B04">
        <w:t xml:space="preserve">This compilation was editorially changed to move the definition of </w:t>
      </w:r>
      <w:r w:rsidRPr="00614CAF">
        <w:rPr>
          <w:b/>
          <w:i/>
        </w:rPr>
        <w:t>the 1992 Protocol</w:t>
      </w:r>
      <w:r w:rsidRPr="005C4B04">
        <w:t xml:space="preserve"> in </w:t>
      </w:r>
      <w:r>
        <w:t>subsection 3</w:t>
      </w:r>
      <w:r w:rsidRPr="005C4B04">
        <w:t>(1) to the correct alphabetical position.</w:t>
      </w:r>
    </w:p>
    <w:p w:rsidR="00F56E3E" w:rsidRPr="00BE5F99" w:rsidRDefault="009C02A9" w:rsidP="00F56E3E">
      <w:pPr>
        <w:pStyle w:val="Head2"/>
        <w:keepLines/>
        <w:spacing w:after="240"/>
      </w:pPr>
      <w:r w:rsidRPr="008A170C">
        <w:t>National Health and Medical Research Council Act 1992</w:t>
      </w:r>
      <w:r w:rsidR="00F56E3E">
        <w:t>, Compilation No. 1</w:t>
      </w:r>
      <w:r>
        <w:t>6</w:t>
      </w:r>
      <w:r w:rsidR="00F56E3E">
        <w:t xml:space="preserve">, Registration Date: </w:t>
      </w:r>
      <w:r>
        <w:t>3</w:t>
      </w:r>
      <w:r w:rsidR="00F56E3E">
        <w:t> </w:t>
      </w:r>
      <w:r>
        <w:t>April</w:t>
      </w:r>
      <w:r w:rsidR="00F56E3E">
        <w:t xml:space="preserve"> 202</w:t>
      </w:r>
      <w:r w:rsidR="00F56E3E" w:rsidRPr="00BE5F99">
        <w:t>4 [</w:t>
      </w:r>
      <w:r w:rsidRPr="009C02A9">
        <w:t>C2024C00108</w:t>
      </w:r>
      <w:r w:rsidR="00F56E3E" w:rsidRPr="00BE5F99">
        <w:t>]</w:t>
      </w:r>
    </w:p>
    <w:p w:rsidR="009C02A9" w:rsidRPr="004549F1" w:rsidRDefault="009C02A9" w:rsidP="009C02A9">
      <w:pPr>
        <w:spacing w:after="240"/>
        <w:rPr>
          <w:b/>
          <w:sz w:val="24"/>
          <w:szCs w:val="24"/>
        </w:rPr>
      </w:pPr>
      <w:r>
        <w:rPr>
          <w:b/>
          <w:sz w:val="24"/>
          <w:szCs w:val="24"/>
        </w:rPr>
        <w:t>Section 4</w:t>
      </w:r>
    </w:p>
    <w:p w:rsidR="009C02A9" w:rsidRPr="004549F1" w:rsidRDefault="009C02A9" w:rsidP="009C02A9">
      <w:pPr>
        <w:spacing w:after="240"/>
        <w:rPr>
          <w:b/>
        </w:rPr>
      </w:pPr>
      <w:r w:rsidRPr="004549F1">
        <w:rPr>
          <w:b/>
        </w:rPr>
        <w:t>Kind of editorial change</w:t>
      </w:r>
    </w:p>
    <w:p w:rsidR="009C02A9" w:rsidRPr="0018341F" w:rsidRDefault="009C02A9" w:rsidP="009C02A9">
      <w:pPr>
        <w:spacing w:after="240"/>
      </w:pPr>
      <w:r>
        <w:t>Reordering of definitions</w:t>
      </w:r>
    </w:p>
    <w:p w:rsidR="009C02A9" w:rsidRPr="004549F1" w:rsidRDefault="009C02A9" w:rsidP="009C02A9">
      <w:pPr>
        <w:spacing w:after="240"/>
        <w:rPr>
          <w:b/>
        </w:rPr>
      </w:pPr>
      <w:r w:rsidRPr="004549F1">
        <w:rPr>
          <w:b/>
        </w:rPr>
        <w:t>Details of editorial change</w:t>
      </w:r>
    </w:p>
    <w:p w:rsidR="009C02A9" w:rsidRPr="008A170C" w:rsidRDefault="009C02A9" w:rsidP="009C02A9">
      <w:r w:rsidRPr="00F75404">
        <w:t xml:space="preserve">This compilation was editorially changed to move the definition of </w:t>
      </w:r>
      <w:r w:rsidRPr="00B82334">
        <w:rPr>
          <w:b/>
          <w:i/>
        </w:rPr>
        <w:t>interim human research guidelines</w:t>
      </w:r>
      <w:r w:rsidRPr="00F75404">
        <w:t xml:space="preserve"> in s</w:t>
      </w:r>
      <w:r>
        <w:t>ection 4</w:t>
      </w:r>
      <w:r w:rsidRPr="00F75404">
        <w:t xml:space="preserve"> to the correct alphabetical position.</w:t>
      </w:r>
    </w:p>
    <w:p w:rsidR="00B81EEC" w:rsidRPr="00BE5F99" w:rsidRDefault="00B81EEC" w:rsidP="00676326">
      <w:pPr>
        <w:pStyle w:val="Head2"/>
        <w:keepLines/>
        <w:spacing w:after="240"/>
      </w:pPr>
      <w:r w:rsidRPr="00E33F59">
        <w:lastRenderedPageBreak/>
        <w:t>Industrial Chemicals Environmental Management (Register) Instrument 2022</w:t>
      </w:r>
      <w:r>
        <w:t>, Compilation No. 1, Registration Date: 2</w:t>
      </w:r>
      <w:r w:rsidR="008A4DD7">
        <w:t>8</w:t>
      </w:r>
      <w:r>
        <w:t> March 202</w:t>
      </w:r>
      <w:r w:rsidRPr="00BE5F99">
        <w:t>4 [</w:t>
      </w:r>
      <w:r w:rsidR="008A4DD7" w:rsidRPr="008A4DD7">
        <w:t>F2024C00280</w:t>
      </w:r>
      <w:r w:rsidRPr="00BE5F99">
        <w:t>]</w:t>
      </w:r>
    </w:p>
    <w:p w:rsidR="008A4DD7" w:rsidRPr="004549F1" w:rsidRDefault="008A4DD7" w:rsidP="00676326">
      <w:pPr>
        <w:keepNext/>
        <w:keepLines/>
        <w:spacing w:after="240"/>
        <w:rPr>
          <w:b/>
          <w:sz w:val="24"/>
          <w:szCs w:val="24"/>
        </w:rPr>
      </w:pPr>
      <w:r>
        <w:rPr>
          <w:b/>
          <w:sz w:val="24"/>
          <w:szCs w:val="24"/>
        </w:rPr>
        <w:t>Schedule 7 (table)</w:t>
      </w:r>
    </w:p>
    <w:p w:rsidR="008A4DD7" w:rsidRPr="004549F1" w:rsidRDefault="008A4DD7" w:rsidP="00676326">
      <w:pPr>
        <w:keepNext/>
        <w:keepLines/>
        <w:spacing w:after="240"/>
        <w:rPr>
          <w:b/>
        </w:rPr>
      </w:pPr>
      <w:r w:rsidRPr="004549F1">
        <w:rPr>
          <w:b/>
        </w:rPr>
        <w:t>Kind of editorial change</w:t>
      </w:r>
    </w:p>
    <w:p w:rsidR="008A4DD7" w:rsidRPr="0018341F" w:rsidRDefault="008A4DD7" w:rsidP="00676326">
      <w:pPr>
        <w:keepNext/>
        <w:keepLines/>
        <w:spacing w:after="240"/>
      </w:pPr>
      <w:r w:rsidRPr="00CC6FF4">
        <w:t>Correct</w:t>
      </w:r>
      <w:r>
        <w:t xml:space="preserve"> a</w:t>
      </w:r>
      <w:r w:rsidRPr="00CC6FF4">
        <w:t xml:space="preserve"> typographical error</w:t>
      </w:r>
    </w:p>
    <w:p w:rsidR="008A4DD7" w:rsidRPr="004549F1" w:rsidRDefault="008A4DD7" w:rsidP="008A4DD7">
      <w:pPr>
        <w:spacing w:after="240"/>
        <w:rPr>
          <w:b/>
        </w:rPr>
      </w:pPr>
      <w:r w:rsidRPr="004549F1">
        <w:rPr>
          <w:b/>
        </w:rPr>
        <w:t>Details of editorial change</w:t>
      </w:r>
    </w:p>
    <w:p w:rsidR="008A4DD7" w:rsidRDefault="008A4DD7" w:rsidP="008A4DD7">
      <w:pPr>
        <w:spacing w:after="240"/>
      </w:pPr>
      <w:r>
        <w:t xml:space="preserve">Schedule 1 item 3 of the </w:t>
      </w:r>
      <w:r w:rsidRPr="00742609">
        <w:rPr>
          <w:i/>
        </w:rPr>
        <w:t>Industrial Chemicals Environmental Management (Register) Amendment (2023 Measures No. 1) Instrument 2023</w:t>
      </w:r>
      <w:r>
        <w:t xml:space="preserve"> instructs to repeal and substitute the table in Schedule 7.</w:t>
      </w:r>
    </w:p>
    <w:p w:rsidR="008A4DD7" w:rsidRDefault="008A4DD7" w:rsidP="008A4DD7">
      <w:pPr>
        <w:spacing w:after="240"/>
      </w:pPr>
      <w:r>
        <w:t>The newly substituted table in Schedule 7 includes an entry for “Perfluorohexanesulfonic acid (PFHxS), including its linear and branched isomers, their salts and any substance containing a linear or branched perfluorohexylsulfonyl moiety that can degrade to PFHxS” that contains a paragraph (j) which is missing the closing parenthesis.</w:t>
      </w:r>
    </w:p>
    <w:p w:rsidR="008A4DD7" w:rsidRDefault="008A4DD7" w:rsidP="008A4DD7">
      <w:r>
        <w:t xml:space="preserve">This compilation was editorially changed to insert a closing parenthesis after “(j” in the entry for </w:t>
      </w:r>
      <w:r w:rsidRPr="00BC25B6">
        <w:t>“Perfluorohexanesulfonic acid (PFHxS), including its linear and branched isomers, their salts and any substance containing a linear or branched perfluorohexylsulfonyl moiety that can degrade to PFHxS” in the</w:t>
      </w:r>
      <w:r>
        <w:t xml:space="preserve"> table in</w:t>
      </w:r>
      <w:r w:rsidRPr="00BC25B6">
        <w:t xml:space="preserve"> Schedule 7 </w:t>
      </w:r>
      <w:r>
        <w:t>to c</w:t>
      </w:r>
      <w:r w:rsidRPr="00CC6FF4">
        <w:t>orrect</w:t>
      </w:r>
      <w:r>
        <w:t xml:space="preserve"> the</w:t>
      </w:r>
      <w:r w:rsidRPr="00CC6FF4">
        <w:t xml:space="preserve"> typographical error</w:t>
      </w:r>
      <w:r>
        <w:t>.</w:t>
      </w:r>
    </w:p>
    <w:p w:rsidR="00CE0800" w:rsidRPr="00BE5F99" w:rsidRDefault="00CE0800" w:rsidP="00CE0800">
      <w:pPr>
        <w:pStyle w:val="Head2"/>
        <w:keepLines/>
        <w:spacing w:after="240"/>
      </w:pPr>
      <w:r w:rsidRPr="00825C28">
        <w:t xml:space="preserve">Australian Immunisation Register </w:t>
      </w:r>
      <w:r>
        <w:t>Rule 2</w:t>
      </w:r>
      <w:r w:rsidRPr="00825C28">
        <w:t>015</w:t>
      </w:r>
      <w:r>
        <w:t>, Compilation No. 4, Registration Date: 27 March 202</w:t>
      </w:r>
      <w:r w:rsidRPr="00BE5F99">
        <w:t>4 [</w:t>
      </w:r>
      <w:r w:rsidR="00863768" w:rsidRPr="00863768">
        <w:t>F2024C00274</w:t>
      </w:r>
      <w:r w:rsidRPr="00BE5F99">
        <w:t>]</w:t>
      </w:r>
    </w:p>
    <w:p w:rsidR="00863768" w:rsidRPr="00825C28" w:rsidRDefault="00863768" w:rsidP="00863768">
      <w:pPr>
        <w:spacing w:after="240"/>
        <w:rPr>
          <w:b/>
          <w:sz w:val="24"/>
          <w:szCs w:val="24"/>
        </w:rPr>
      </w:pPr>
      <w:r>
        <w:rPr>
          <w:b/>
          <w:sz w:val="24"/>
          <w:szCs w:val="24"/>
        </w:rPr>
        <w:t>Subparagraph 9</w:t>
      </w:r>
      <w:r w:rsidRPr="00825C28">
        <w:rPr>
          <w:b/>
          <w:sz w:val="24"/>
          <w:szCs w:val="24"/>
        </w:rPr>
        <w:t>(e)(vii)</w:t>
      </w:r>
    </w:p>
    <w:p w:rsidR="00863768" w:rsidRPr="00825C28" w:rsidRDefault="00863768" w:rsidP="00863768">
      <w:pPr>
        <w:spacing w:after="240"/>
        <w:rPr>
          <w:b/>
        </w:rPr>
      </w:pPr>
      <w:r w:rsidRPr="00825C28">
        <w:rPr>
          <w:b/>
        </w:rPr>
        <w:t>Kind of editorial change</w:t>
      </w:r>
    </w:p>
    <w:p w:rsidR="00863768" w:rsidRPr="00825C28" w:rsidRDefault="00863768" w:rsidP="00863768">
      <w:pPr>
        <w:spacing w:after="240"/>
      </w:pPr>
      <w:r w:rsidRPr="00825C28">
        <w:rPr>
          <w:szCs w:val="22"/>
        </w:rPr>
        <w:t>Numbering or renumbering of provisions</w:t>
      </w:r>
    </w:p>
    <w:p w:rsidR="00863768" w:rsidRPr="00825C28" w:rsidRDefault="00863768" w:rsidP="00863768">
      <w:pPr>
        <w:spacing w:after="240"/>
        <w:rPr>
          <w:b/>
        </w:rPr>
      </w:pPr>
      <w:r w:rsidRPr="00825C28">
        <w:rPr>
          <w:b/>
        </w:rPr>
        <w:t>Details of editorial change</w:t>
      </w:r>
    </w:p>
    <w:p w:rsidR="00863768" w:rsidRPr="00825C28" w:rsidRDefault="00863768" w:rsidP="00863768">
      <w:pPr>
        <w:spacing w:after="240"/>
      </w:pPr>
      <w:r>
        <w:t>Schedule 1</w:t>
      </w:r>
      <w:r w:rsidRPr="00825C28">
        <w:t xml:space="preserve"> </w:t>
      </w:r>
      <w:r>
        <w:t>item 1</w:t>
      </w:r>
      <w:r w:rsidRPr="00825C28">
        <w:t xml:space="preserve"> of the </w:t>
      </w:r>
      <w:r w:rsidRPr="00825C28">
        <w:rPr>
          <w:i/>
        </w:rPr>
        <w:t xml:space="preserve">Australian Immunisation Register Amendment (Reporting) </w:t>
      </w:r>
      <w:r>
        <w:rPr>
          <w:i/>
        </w:rPr>
        <w:t>Rules 2</w:t>
      </w:r>
      <w:r w:rsidRPr="00825C28">
        <w:rPr>
          <w:i/>
        </w:rPr>
        <w:t>024</w:t>
      </w:r>
      <w:r w:rsidRPr="00825C28">
        <w:t xml:space="preserve"> provides as follows:</w:t>
      </w:r>
    </w:p>
    <w:p w:rsidR="00863768" w:rsidRPr="00825C28" w:rsidRDefault="00863768" w:rsidP="00863768">
      <w:pPr>
        <w:pStyle w:val="ItemHead"/>
      </w:pPr>
      <w:r w:rsidRPr="00825C28">
        <w:t xml:space="preserve">1  </w:t>
      </w:r>
      <w:r>
        <w:t>Paragraph 9</w:t>
      </w:r>
      <w:r w:rsidRPr="00825C28">
        <w:t>(e)(vii)</w:t>
      </w:r>
    </w:p>
    <w:p w:rsidR="00863768" w:rsidRPr="00825C28" w:rsidRDefault="00863768" w:rsidP="00863768">
      <w:pPr>
        <w:pStyle w:val="Item"/>
      </w:pPr>
      <w:r w:rsidRPr="00825C28">
        <w:t>Repeal the paragraph, substitute:</w:t>
      </w:r>
    </w:p>
    <w:p w:rsidR="00863768" w:rsidRPr="00825C28" w:rsidRDefault="00863768" w:rsidP="00863768">
      <w:pPr>
        <w:pStyle w:val="Item"/>
      </w:pPr>
      <w:r w:rsidRPr="00825C28">
        <w:tab/>
        <w:t xml:space="preserve">for vaccines prescribed under </w:t>
      </w:r>
      <w:r>
        <w:t>paragraph 9</w:t>
      </w:r>
      <w:r w:rsidRPr="00825C28">
        <w:t>(a)(iv) – information about the route of administration;</w:t>
      </w:r>
    </w:p>
    <w:p w:rsidR="00863768" w:rsidRPr="00825C28" w:rsidRDefault="00863768" w:rsidP="00863768">
      <w:pPr>
        <w:spacing w:before="240" w:after="240"/>
      </w:pPr>
      <w:r w:rsidRPr="00825C28">
        <w:t>The substituted subparagraph does not contain a reference to the subparagraph lettering.</w:t>
      </w:r>
    </w:p>
    <w:p w:rsidR="00863768" w:rsidRPr="00825C28" w:rsidRDefault="00863768" w:rsidP="00863768">
      <w:pPr>
        <w:spacing w:after="240"/>
      </w:pPr>
      <w:r w:rsidRPr="00825C28">
        <w:t xml:space="preserve">This compilation was editorially changed to insert “(vii)” at the beginning of </w:t>
      </w:r>
      <w:r>
        <w:t>subparagraph 9</w:t>
      </w:r>
      <w:r w:rsidRPr="00825C28">
        <w:t>(e)(vii).</w:t>
      </w:r>
    </w:p>
    <w:p w:rsidR="00863768" w:rsidRPr="00825C28" w:rsidRDefault="00863768" w:rsidP="00913203">
      <w:pPr>
        <w:keepNext/>
        <w:keepLines/>
        <w:spacing w:after="240"/>
        <w:rPr>
          <w:b/>
          <w:sz w:val="24"/>
          <w:szCs w:val="24"/>
        </w:rPr>
      </w:pPr>
      <w:r>
        <w:rPr>
          <w:b/>
          <w:sz w:val="24"/>
          <w:szCs w:val="24"/>
        </w:rPr>
        <w:lastRenderedPageBreak/>
        <w:t>Subparagraph 9</w:t>
      </w:r>
      <w:r w:rsidRPr="00825C28">
        <w:rPr>
          <w:b/>
          <w:sz w:val="24"/>
          <w:szCs w:val="24"/>
        </w:rPr>
        <w:t>(e)(vii)</w:t>
      </w:r>
    </w:p>
    <w:p w:rsidR="00863768" w:rsidRPr="00825C28" w:rsidRDefault="00863768" w:rsidP="00913203">
      <w:pPr>
        <w:keepNext/>
        <w:keepLines/>
        <w:spacing w:after="240"/>
        <w:rPr>
          <w:b/>
        </w:rPr>
      </w:pPr>
      <w:r w:rsidRPr="00825C28">
        <w:rPr>
          <w:b/>
        </w:rPr>
        <w:t>Kind of editorial change</w:t>
      </w:r>
    </w:p>
    <w:p w:rsidR="00863768" w:rsidRPr="00825C28" w:rsidRDefault="00863768" w:rsidP="00913203">
      <w:pPr>
        <w:keepNext/>
        <w:keepLines/>
        <w:spacing w:after="240"/>
      </w:pPr>
      <w:r w:rsidRPr="00825C28">
        <w:t>Change to punctuation</w:t>
      </w:r>
    </w:p>
    <w:p w:rsidR="00863768" w:rsidRPr="00825C28" w:rsidRDefault="00863768" w:rsidP="00863768">
      <w:pPr>
        <w:spacing w:after="240"/>
        <w:rPr>
          <w:b/>
        </w:rPr>
      </w:pPr>
      <w:r w:rsidRPr="00825C28">
        <w:rPr>
          <w:b/>
        </w:rPr>
        <w:t>Details of editorial change</w:t>
      </w:r>
    </w:p>
    <w:p w:rsidR="00863768" w:rsidRPr="00825C28" w:rsidRDefault="00863768" w:rsidP="00863768">
      <w:pPr>
        <w:spacing w:after="240"/>
      </w:pPr>
      <w:r>
        <w:t>Schedule 1</w:t>
      </w:r>
      <w:r w:rsidRPr="00825C28">
        <w:t xml:space="preserve"> </w:t>
      </w:r>
      <w:r>
        <w:t>item 2</w:t>
      </w:r>
      <w:r w:rsidRPr="00825C28">
        <w:t xml:space="preserve"> of the </w:t>
      </w:r>
      <w:r w:rsidRPr="00825C28">
        <w:rPr>
          <w:i/>
        </w:rPr>
        <w:t xml:space="preserve">Australian Immunisation Register Amendment (Reporting) </w:t>
      </w:r>
      <w:r>
        <w:rPr>
          <w:i/>
        </w:rPr>
        <w:t>Rules 2</w:t>
      </w:r>
      <w:r w:rsidRPr="00825C28">
        <w:rPr>
          <w:i/>
        </w:rPr>
        <w:t>024</w:t>
      </w:r>
      <w:r w:rsidRPr="00825C28">
        <w:t xml:space="preserve"> provides as follows:</w:t>
      </w:r>
    </w:p>
    <w:p w:rsidR="00863768" w:rsidRPr="00825C28" w:rsidRDefault="00863768" w:rsidP="00863768">
      <w:pPr>
        <w:pStyle w:val="ItemHead"/>
      </w:pPr>
      <w:r w:rsidRPr="00825C28">
        <w:t xml:space="preserve">2  At the end of </w:t>
      </w:r>
      <w:r>
        <w:t>paragraph 9</w:t>
      </w:r>
      <w:r w:rsidRPr="00825C28">
        <w:t>(e)(vii)</w:t>
      </w:r>
    </w:p>
    <w:p w:rsidR="00863768" w:rsidRPr="00825C28" w:rsidRDefault="00863768" w:rsidP="00863768">
      <w:pPr>
        <w:pStyle w:val="Item"/>
      </w:pPr>
      <w:r w:rsidRPr="00825C28">
        <w:t xml:space="preserve">Add: </w:t>
      </w:r>
    </w:p>
    <w:p w:rsidR="00863768" w:rsidRPr="00825C28" w:rsidRDefault="00863768" w:rsidP="00863768">
      <w:pPr>
        <w:pStyle w:val="Item"/>
      </w:pPr>
      <w:r w:rsidRPr="00825C28">
        <w:tab/>
        <w:t>; (viii) the vaccine type information.</w:t>
      </w:r>
    </w:p>
    <w:p w:rsidR="00863768" w:rsidRPr="00825C28" w:rsidRDefault="00863768" w:rsidP="00863768">
      <w:pPr>
        <w:spacing w:before="240" w:after="240"/>
      </w:pPr>
      <w:r w:rsidRPr="00825C28">
        <w:t xml:space="preserve">This amendment results in two semicolons at the end of </w:t>
      </w:r>
      <w:r>
        <w:t>subparagraph 9</w:t>
      </w:r>
      <w:r w:rsidRPr="00825C28">
        <w:t>(e)(vii).</w:t>
      </w:r>
    </w:p>
    <w:p w:rsidR="00863768" w:rsidRPr="00825C28" w:rsidRDefault="00863768" w:rsidP="00863768">
      <w:r w:rsidRPr="00825C28">
        <w:t xml:space="preserve">This compilation was editorially changed to remove the extra semicolon at the end of </w:t>
      </w:r>
      <w:r>
        <w:t>subparagraph 9</w:t>
      </w:r>
      <w:r w:rsidRPr="00825C28">
        <w:t>(e)(vii) to bring it into line with legislative drafting practice.</w:t>
      </w:r>
    </w:p>
    <w:p w:rsidR="000526F6" w:rsidRPr="00BE5F99" w:rsidRDefault="000526F6" w:rsidP="000526F6">
      <w:pPr>
        <w:pStyle w:val="Head2"/>
        <w:keepLines/>
        <w:spacing w:after="240"/>
      </w:pPr>
      <w:r w:rsidRPr="000526F6">
        <w:t xml:space="preserve">Autonomous Sanctions (Designated Persons and Entities and Declared Persons </w:t>
      </w:r>
      <w:r w:rsidRPr="000526F6">
        <w:noBreakHyphen/>
        <w:t xml:space="preserve"> Zimbabwe) List 2012</w:t>
      </w:r>
      <w:r>
        <w:t>, Compilation No. 9, Registration Date: 2</w:t>
      </w:r>
      <w:r w:rsidR="00353E8F">
        <w:t>7</w:t>
      </w:r>
      <w:r>
        <w:t> March 202</w:t>
      </w:r>
      <w:r w:rsidRPr="00BE5F99">
        <w:t>4 [</w:t>
      </w:r>
      <w:r w:rsidR="00353E8F" w:rsidRPr="00353E8F">
        <w:t>F2024C00271</w:t>
      </w:r>
      <w:r w:rsidRPr="00BE5F99">
        <w:t>]</w:t>
      </w:r>
    </w:p>
    <w:p w:rsidR="00353E8F" w:rsidRPr="002341F7" w:rsidRDefault="00353E8F" w:rsidP="00353E8F">
      <w:pPr>
        <w:spacing w:after="240"/>
        <w:rPr>
          <w:b/>
          <w:sz w:val="24"/>
          <w:szCs w:val="24"/>
        </w:rPr>
      </w:pPr>
      <w:r>
        <w:rPr>
          <w:b/>
          <w:sz w:val="24"/>
          <w:szCs w:val="24"/>
        </w:rPr>
        <w:t>Part 2</w:t>
      </w:r>
      <w:r w:rsidRPr="002341F7">
        <w:rPr>
          <w:b/>
          <w:sz w:val="24"/>
          <w:szCs w:val="24"/>
        </w:rPr>
        <w:t xml:space="preserve"> of </w:t>
      </w:r>
      <w:r>
        <w:rPr>
          <w:b/>
          <w:sz w:val="24"/>
          <w:szCs w:val="24"/>
        </w:rPr>
        <w:t>Schedule 1</w:t>
      </w:r>
    </w:p>
    <w:p w:rsidR="00353E8F" w:rsidRPr="002341F7" w:rsidRDefault="00353E8F" w:rsidP="00353E8F">
      <w:pPr>
        <w:spacing w:after="240"/>
        <w:rPr>
          <w:b/>
        </w:rPr>
      </w:pPr>
      <w:r w:rsidRPr="002341F7">
        <w:rPr>
          <w:b/>
        </w:rPr>
        <w:t>Kind of editorial change</w:t>
      </w:r>
    </w:p>
    <w:p w:rsidR="00353E8F" w:rsidRPr="002341F7" w:rsidRDefault="00353E8F" w:rsidP="00353E8F">
      <w:pPr>
        <w:spacing w:after="240"/>
      </w:pPr>
      <w:r w:rsidRPr="002341F7">
        <w:t>Removal of redundant text</w:t>
      </w:r>
    </w:p>
    <w:p w:rsidR="00353E8F" w:rsidRPr="002341F7" w:rsidRDefault="00353E8F" w:rsidP="00353E8F">
      <w:pPr>
        <w:spacing w:after="240"/>
        <w:rPr>
          <w:b/>
        </w:rPr>
      </w:pPr>
      <w:r w:rsidRPr="002341F7">
        <w:rPr>
          <w:b/>
        </w:rPr>
        <w:t>Details of editorial change</w:t>
      </w:r>
    </w:p>
    <w:p w:rsidR="00353E8F" w:rsidRPr="002341F7" w:rsidRDefault="00353E8F" w:rsidP="00353E8F">
      <w:pPr>
        <w:spacing w:after="240"/>
      </w:pPr>
      <w:r>
        <w:t>Schedule 1</w:t>
      </w:r>
      <w:r w:rsidRPr="002341F7">
        <w:t xml:space="preserve"> </w:t>
      </w:r>
      <w:r>
        <w:t>item 7</w:t>
      </w:r>
      <w:r w:rsidRPr="002341F7">
        <w:t xml:space="preserve"> of the </w:t>
      </w:r>
      <w:r w:rsidRPr="002341F7">
        <w:rPr>
          <w:i/>
        </w:rPr>
        <w:t>Autonomous Sanctions (Designated Persons and Entities and Declared Persons – Zimbabwe) Amendment (No. 1) Instrument 2023</w:t>
      </w:r>
      <w:r w:rsidRPr="002341F7">
        <w:t xml:space="preserve"> instructs to repeal table </w:t>
      </w:r>
      <w:r>
        <w:t>item 1</w:t>
      </w:r>
      <w:r w:rsidRPr="002341F7">
        <w:t xml:space="preserve"> from </w:t>
      </w:r>
      <w:r>
        <w:t>Part 2</w:t>
      </w:r>
      <w:r w:rsidRPr="002341F7">
        <w:t xml:space="preserve"> of </w:t>
      </w:r>
      <w:r>
        <w:t>Schedule 1</w:t>
      </w:r>
      <w:r w:rsidRPr="002341F7">
        <w:t>.</w:t>
      </w:r>
    </w:p>
    <w:p w:rsidR="00353E8F" w:rsidRPr="002341F7" w:rsidRDefault="00353E8F" w:rsidP="00353E8F">
      <w:pPr>
        <w:spacing w:after="240"/>
      </w:pPr>
      <w:r w:rsidRPr="002341F7">
        <w:t xml:space="preserve">This amendment results in the table in </w:t>
      </w:r>
      <w:r>
        <w:t>Part 2</w:t>
      </w:r>
      <w:r w:rsidRPr="002341F7">
        <w:t xml:space="preserve"> of </w:t>
      </w:r>
      <w:r>
        <w:t>Schedule 1</w:t>
      </w:r>
      <w:r w:rsidRPr="002341F7">
        <w:t xml:space="preserve"> containing no table items.</w:t>
      </w:r>
    </w:p>
    <w:p w:rsidR="00353E8F" w:rsidRPr="002341F7" w:rsidRDefault="00353E8F" w:rsidP="00353E8F">
      <w:r w:rsidRPr="002341F7">
        <w:t xml:space="preserve">This compilation was editorially changed to omit the redundant </w:t>
      </w:r>
      <w:r>
        <w:t>Part 2</w:t>
      </w:r>
      <w:r w:rsidRPr="002341F7">
        <w:t xml:space="preserve"> of </w:t>
      </w:r>
      <w:r>
        <w:t>Schedule 1</w:t>
      </w:r>
      <w:r w:rsidRPr="002341F7">
        <w:t xml:space="preserve"> heading and the table column headings.</w:t>
      </w:r>
    </w:p>
    <w:p w:rsidR="00F713C6" w:rsidRPr="00BE5F99" w:rsidRDefault="00F713C6" w:rsidP="00913203">
      <w:pPr>
        <w:pStyle w:val="Head2"/>
        <w:keepLines/>
        <w:spacing w:after="240"/>
      </w:pPr>
      <w:r w:rsidRPr="00B138DF">
        <w:lastRenderedPageBreak/>
        <w:t>Classification (Publications, Films and Computer Games) Act 1995</w:t>
      </w:r>
      <w:r>
        <w:t>, Compilation No. 41, Registration Date: 26 March 202</w:t>
      </w:r>
      <w:r w:rsidRPr="00BE5F99">
        <w:t>4 [</w:t>
      </w:r>
      <w:r w:rsidRPr="00F713C6">
        <w:t>C2024C00094</w:t>
      </w:r>
      <w:r w:rsidRPr="00BE5F99">
        <w:t>]</w:t>
      </w:r>
    </w:p>
    <w:p w:rsidR="007146B8" w:rsidRPr="004549F1" w:rsidRDefault="007146B8" w:rsidP="00913203">
      <w:pPr>
        <w:keepNext/>
        <w:keepLines/>
        <w:spacing w:after="240"/>
        <w:rPr>
          <w:b/>
          <w:sz w:val="24"/>
          <w:szCs w:val="24"/>
        </w:rPr>
      </w:pPr>
      <w:r>
        <w:rPr>
          <w:b/>
          <w:sz w:val="24"/>
          <w:szCs w:val="24"/>
        </w:rPr>
        <w:t>Section 5</w:t>
      </w:r>
    </w:p>
    <w:p w:rsidR="007146B8" w:rsidRPr="004549F1" w:rsidRDefault="007146B8" w:rsidP="00913203">
      <w:pPr>
        <w:keepNext/>
        <w:keepLines/>
        <w:spacing w:after="240"/>
        <w:rPr>
          <w:b/>
        </w:rPr>
      </w:pPr>
      <w:r w:rsidRPr="004549F1">
        <w:rPr>
          <w:b/>
        </w:rPr>
        <w:t>Kind of editorial change</w:t>
      </w:r>
    </w:p>
    <w:p w:rsidR="007146B8" w:rsidRPr="00AD0805" w:rsidRDefault="007146B8" w:rsidP="00913203">
      <w:pPr>
        <w:keepNext/>
        <w:keepLines/>
        <w:spacing w:after="240"/>
      </w:pPr>
      <w:r>
        <w:rPr>
          <w:color w:val="000000"/>
          <w:szCs w:val="22"/>
          <w:shd w:val="clear" w:color="auto" w:fill="FFFFFF"/>
        </w:rPr>
        <w:t>Reordering of definitions</w:t>
      </w:r>
    </w:p>
    <w:p w:rsidR="007146B8" w:rsidRPr="004549F1" w:rsidRDefault="007146B8" w:rsidP="00913203">
      <w:pPr>
        <w:keepNext/>
        <w:keepLines/>
        <w:spacing w:after="240"/>
        <w:rPr>
          <w:b/>
        </w:rPr>
      </w:pPr>
      <w:r w:rsidRPr="004549F1">
        <w:rPr>
          <w:b/>
        </w:rPr>
        <w:t>Details of editorial change</w:t>
      </w:r>
    </w:p>
    <w:p w:rsidR="007146B8" w:rsidRDefault="007146B8" w:rsidP="007146B8">
      <w:r>
        <w:rPr>
          <w:color w:val="000000"/>
          <w:szCs w:val="22"/>
          <w:shd w:val="clear" w:color="auto" w:fill="FFFFFF"/>
        </w:rPr>
        <w:t xml:space="preserve">This compilation was editorially changed to move the definition of </w:t>
      </w:r>
      <w:r>
        <w:rPr>
          <w:b/>
          <w:i/>
        </w:rPr>
        <w:t>adult</w:t>
      </w:r>
      <w:r w:rsidRPr="0031719C">
        <w:t xml:space="preserve"> </w:t>
      </w:r>
      <w:r>
        <w:rPr>
          <w:color w:val="000000"/>
          <w:szCs w:val="22"/>
          <w:shd w:val="clear" w:color="auto" w:fill="FFFFFF"/>
        </w:rPr>
        <w:t>in section 5 to the correct alphabetical position.</w:t>
      </w:r>
    </w:p>
    <w:p w:rsidR="00FB6DB0" w:rsidRPr="00BE5F99" w:rsidRDefault="00FB6DB0" w:rsidP="00FB6DB0">
      <w:pPr>
        <w:pStyle w:val="Head2"/>
        <w:keepLines/>
        <w:spacing w:after="240"/>
      </w:pPr>
      <w:r w:rsidRPr="00331AB1">
        <w:t>Copyright Act 1968</w:t>
      </w:r>
      <w:r>
        <w:t>, Compilation No. 62, Registration Date: 2</w:t>
      </w:r>
      <w:r w:rsidR="00F30BD4">
        <w:t>6</w:t>
      </w:r>
      <w:r>
        <w:t> March 202</w:t>
      </w:r>
      <w:r w:rsidRPr="00BE5F99">
        <w:t>4 [</w:t>
      </w:r>
      <w:r w:rsidR="00F30BD4" w:rsidRPr="00F30BD4">
        <w:t>C2024C00092</w:t>
      </w:r>
      <w:r w:rsidRPr="00BE5F99">
        <w:t>]</w:t>
      </w:r>
    </w:p>
    <w:p w:rsidR="00F30BD4" w:rsidRPr="004549F1" w:rsidRDefault="00F30BD4" w:rsidP="00F30BD4">
      <w:pPr>
        <w:spacing w:after="240"/>
        <w:rPr>
          <w:b/>
          <w:sz w:val="24"/>
          <w:szCs w:val="24"/>
        </w:rPr>
      </w:pPr>
      <w:r>
        <w:rPr>
          <w:b/>
          <w:sz w:val="24"/>
          <w:szCs w:val="24"/>
        </w:rPr>
        <w:t>Section 189</w:t>
      </w:r>
    </w:p>
    <w:p w:rsidR="00F30BD4" w:rsidRPr="004549F1" w:rsidRDefault="00F30BD4" w:rsidP="00F30BD4">
      <w:pPr>
        <w:spacing w:after="240"/>
        <w:rPr>
          <w:b/>
        </w:rPr>
      </w:pPr>
      <w:r w:rsidRPr="004549F1">
        <w:rPr>
          <w:b/>
        </w:rPr>
        <w:t>Kind of editorial change</w:t>
      </w:r>
    </w:p>
    <w:p w:rsidR="00F30BD4" w:rsidRPr="0018341F" w:rsidRDefault="00F30BD4" w:rsidP="00F30BD4">
      <w:pPr>
        <w:spacing w:after="240"/>
      </w:pPr>
      <w:r>
        <w:t>Reordering of definitions</w:t>
      </w:r>
    </w:p>
    <w:p w:rsidR="00F30BD4" w:rsidRPr="004549F1" w:rsidRDefault="00F30BD4" w:rsidP="00F30BD4">
      <w:pPr>
        <w:spacing w:after="240"/>
        <w:rPr>
          <w:b/>
        </w:rPr>
      </w:pPr>
      <w:r w:rsidRPr="004549F1">
        <w:rPr>
          <w:b/>
        </w:rPr>
        <w:t>Details of editorial change</w:t>
      </w:r>
    </w:p>
    <w:p w:rsidR="00F30BD4" w:rsidRPr="004549F1" w:rsidRDefault="00F30BD4" w:rsidP="00F30BD4">
      <w:r>
        <w:t xml:space="preserve">This compilation was editorially changed to move the definition of </w:t>
      </w:r>
      <w:r w:rsidRPr="00331AB1">
        <w:rPr>
          <w:b/>
          <w:i/>
        </w:rPr>
        <w:t>right not to have authorship falsely attributed</w:t>
      </w:r>
      <w:r>
        <w:t xml:space="preserve"> in section 189 to the correct alphabetical position.</w:t>
      </w:r>
    </w:p>
    <w:p w:rsidR="00E42A3B" w:rsidRPr="00BE5F99" w:rsidRDefault="00E42A3B" w:rsidP="00E42A3B">
      <w:pPr>
        <w:pStyle w:val="Head2"/>
        <w:keepLines/>
        <w:spacing w:after="240"/>
      </w:pPr>
      <w:r w:rsidRPr="00EB3729">
        <w:t>Health Insurance (Section 3C General Medical Services – Telehealth and Telephone Attendances) Determination 2021</w:t>
      </w:r>
      <w:r>
        <w:t>, Compilation No. 19, Registration Date: 25 March 202</w:t>
      </w:r>
      <w:r w:rsidRPr="00BE5F99">
        <w:t>4 [</w:t>
      </w:r>
      <w:r w:rsidRPr="00E42A3B">
        <w:t>F2024C00258</w:t>
      </w:r>
      <w:r w:rsidRPr="00BE5F99">
        <w:t>]</w:t>
      </w:r>
    </w:p>
    <w:p w:rsidR="007D3290" w:rsidRPr="004549F1" w:rsidRDefault="007D3290" w:rsidP="007D3290">
      <w:pPr>
        <w:spacing w:after="240"/>
        <w:rPr>
          <w:b/>
          <w:sz w:val="24"/>
          <w:szCs w:val="24"/>
        </w:rPr>
      </w:pPr>
      <w:r>
        <w:rPr>
          <w:b/>
          <w:sz w:val="24"/>
          <w:szCs w:val="24"/>
        </w:rPr>
        <w:t>Schedule 1 (Group A40 table)</w:t>
      </w:r>
    </w:p>
    <w:p w:rsidR="007D3290" w:rsidRPr="004549F1" w:rsidRDefault="007D3290" w:rsidP="007D3290">
      <w:pPr>
        <w:spacing w:after="240"/>
        <w:rPr>
          <w:b/>
        </w:rPr>
      </w:pPr>
      <w:r w:rsidRPr="004549F1">
        <w:rPr>
          <w:b/>
        </w:rPr>
        <w:t>Kind of editorial change</w:t>
      </w:r>
    </w:p>
    <w:p w:rsidR="007D3290" w:rsidRPr="00EB3729" w:rsidRDefault="007D3290" w:rsidP="007D3290">
      <w:pPr>
        <w:spacing w:after="240" w:line="240" w:lineRule="auto"/>
        <w:rPr>
          <w:rFonts w:eastAsia="Times New Roman" w:cs="Times New Roman"/>
          <w:color w:val="000000"/>
          <w:szCs w:val="22"/>
          <w:lang w:eastAsia="en-AU"/>
        </w:rPr>
      </w:pPr>
      <w:r w:rsidRPr="00EB3729">
        <w:rPr>
          <w:rFonts w:eastAsia="Times New Roman" w:cs="Times New Roman"/>
          <w:color w:val="000000"/>
          <w:szCs w:val="22"/>
          <w:lang w:eastAsia="en-AU"/>
        </w:rPr>
        <w:t>Give effect to the misdescribed amendment as intended</w:t>
      </w:r>
    </w:p>
    <w:p w:rsidR="007D3290" w:rsidRPr="004549F1" w:rsidRDefault="007D3290" w:rsidP="007D3290">
      <w:pPr>
        <w:spacing w:after="240"/>
        <w:rPr>
          <w:b/>
        </w:rPr>
      </w:pPr>
      <w:r w:rsidRPr="004549F1">
        <w:rPr>
          <w:b/>
        </w:rPr>
        <w:t>Details of editorial change</w:t>
      </w:r>
    </w:p>
    <w:p w:rsidR="007D3290" w:rsidRDefault="007D3290" w:rsidP="007D3290">
      <w:pPr>
        <w:spacing w:after="240"/>
        <w:rPr>
          <w:iCs/>
          <w:color w:val="000000"/>
          <w:szCs w:val="22"/>
        </w:rPr>
      </w:pPr>
      <w:r>
        <w:t xml:space="preserve">Schedule 1 item 2 of the </w:t>
      </w:r>
      <w:r>
        <w:rPr>
          <w:i/>
          <w:iCs/>
          <w:color w:val="000000"/>
          <w:szCs w:val="22"/>
        </w:rPr>
        <w:t>Health Insurance (Section 3C General Medical Services – Telehealth and Telephone Attendances) Amendment (No. 1) Determination 2024</w:t>
      </w:r>
      <w:r>
        <w:rPr>
          <w:iCs/>
          <w:color w:val="000000"/>
          <w:szCs w:val="22"/>
        </w:rPr>
        <w:t xml:space="preserve"> provides as follows:</w:t>
      </w:r>
    </w:p>
    <w:p w:rsidR="007D3290" w:rsidRPr="00A863C2" w:rsidRDefault="007D3290" w:rsidP="007D3290">
      <w:pPr>
        <w:pStyle w:val="ItemHead"/>
      </w:pPr>
      <w:r w:rsidRPr="00A863C2">
        <w:t>2  Schedule 1 (cell at item 92024, column 2)</w:t>
      </w:r>
    </w:p>
    <w:p w:rsidR="007D3290" w:rsidRPr="00DF0C44" w:rsidRDefault="007D3290" w:rsidP="007D3290">
      <w:pPr>
        <w:pStyle w:val="Item"/>
      </w:pPr>
      <w:r w:rsidRPr="00A863C2">
        <w:t>Omit “340”, substitute “240”.</w:t>
      </w:r>
    </w:p>
    <w:p w:rsidR="007D3290" w:rsidRDefault="007D3290" w:rsidP="007D3290">
      <w:pPr>
        <w:spacing w:before="240" w:after="240"/>
      </w:pPr>
      <w:r>
        <w:t>Item 92024 appears twice in Schedule 1.</w:t>
      </w:r>
    </w:p>
    <w:p w:rsidR="007D3290" w:rsidRPr="00EB3729" w:rsidRDefault="007D3290" w:rsidP="007D3290">
      <w:pPr>
        <w:rPr>
          <w:rFonts w:eastAsia="Times New Roman" w:cs="Times New Roman"/>
          <w:color w:val="000000"/>
          <w:szCs w:val="22"/>
          <w:lang w:eastAsia="en-AU"/>
        </w:rPr>
      </w:pPr>
      <w:r>
        <w:t>This compilation was editorially changed to omit “340” and substitute “240” in column 2 of item 92024 in the Group A40 table of Schedule 1 to give effect to the misdescribed amendment as intended.</w:t>
      </w:r>
    </w:p>
    <w:p w:rsidR="00BE5F99" w:rsidRPr="00BE5F99" w:rsidRDefault="00BE5F99" w:rsidP="00BE5F99">
      <w:pPr>
        <w:pStyle w:val="Head2"/>
        <w:keepLines/>
        <w:spacing w:after="240"/>
      </w:pPr>
      <w:r w:rsidRPr="00CB3F63">
        <w:lastRenderedPageBreak/>
        <w:t xml:space="preserve">Health Insurance (General Medical Services Table) </w:t>
      </w:r>
      <w:r>
        <w:t>Regulations 2</w:t>
      </w:r>
      <w:r w:rsidRPr="00CB3F63">
        <w:t>021</w:t>
      </w:r>
      <w:r>
        <w:t>, Compilation No. 15, Registration Date: 19 March 202</w:t>
      </w:r>
      <w:r w:rsidRPr="00BE5F99">
        <w:t>4 [F2024C00240]</w:t>
      </w:r>
    </w:p>
    <w:p w:rsidR="00BE5F99" w:rsidRPr="00CB3F63" w:rsidRDefault="00BE5F99" w:rsidP="00BE5F99">
      <w:pPr>
        <w:spacing w:after="240"/>
        <w:rPr>
          <w:b/>
          <w:sz w:val="24"/>
          <w:szCs w:val="24"/>
        </w:rPr>
      </w:pPr>
      <w:r>
        <w:rPr>
          <w:b/>
          <w:sz w:val="24"/>
          <w:szCs w:val="24"/>
        </w:rPr>
        <w:t>Subclause 1</w:t>
      </w:r>
      <w:r w:rsidRPr="00CB3F63">
        <w:rPr>
          <w:b/>
          <w:sz w:val="24"/>
          <w:szCs w:val="24"/>
        </w:rPr>
        <w:t xml:space="preserve">.2.4(1) of </w:t>
      </w:r>
      <w:r>
        <w:rPr>
          <w:b/>
          <w:sz w:val="24"/>
          <w:szCs w:val="24"/>
        </w:rPr>
        <w:t>Schedule 1</w:t>
      </w:r>
    </w:p>
    <w:p w:rsidR="00BE5F99" w:rsidRPr="00CB3F63" w:rsidRDefault="00BE5F99" w:rsidP="00BE5F99">
      <w:pPr>
        <w:spacing w:after="240"/>
        <w:rPr>
          <w:b/>
        </w:rPr>
      </w:pPr>
      <w:r w:rsidRPr="00CB3F63">
        <w:rPr>
          <w:b/>
        </w:rPr>
        <w:t>Kind of editorial change</w:t>
      </w:r>
    </w:p>
    <w:p w:rsidR="00BE5F99" w:rsidRPr="00CB3F63" w:rsidRDefault="00BE5F99" w:rsidP="00BE5F99">
      <w:pPr>
        <w:spacing w:after="240"/>
      </w:pPr>
      <w:r w:rsidRPr="00CB3F63">
        <w:t>Change to punctuation</w:t>
      </w:r>
    </w:p>
    <w:p w:rsidR="00BE5F99" w:rsidRPr="00CB3F63" w:rsidRDefault="00BE5F99" w:rsidP="00BE5F99">
      <w:pPr>
        <w:spacing w:after="240"/>
        <w:rPr>
          <w:b/>
        </w:rPr>
      </w:pPr>
      <w:r w:rsidRPr="00CB3F63">
        <w:rPr>
          <w:b/>
        </w:rPr>
        <w:t>Details of editorial change</w:t>
      </w:r>
    </w:p>
    <w:p w:rsidR="00BE5F99" w:rsidRPr="00CB3F63" w:rsidRDefault="00BE5F99" w:rsidP="00BE5F99">
      <w:pPr>
        <w:spacing w:after="240"/>
      </w:pPr>
      <w:r>
        <w:t>Schedule 1</w:t>
      </w:r>
      <w:r w:rsidRPr="00CB3F63">
        <w:t xml:space="preserve"> </w:t>
      </w:r>
      <w:r>
        <w:t>item 1</w:t>
      </w:r>
      <w:r w:rsidRPr="00CB3F63">
        <w:t xml:space="preserve">5 of the </w:t>
      </w:r>
      <w:r w:rsidRPr="00CB3F63">
        <w:rPr>
          <w:i/>
          <w:szCs w:val="22"/>
        </w:rPr>
        <w:t xml:space="preserve">Health Insurance Legislation Amendment (2024 Measures No. 1) </w:t>
      </w:r>
      <w:r>
        <w:rPr>
          <w:i/>
          <w:szCs w:val="22"/>
        </w:rPr>
        <w:t>Regulations 2</w:t>
      </w:r>
      <w:r w:rsidRPr="00CB3F63">
        <w:rPr>
          <w:i/>
          <w:szCs w:val="22"/>
        </w:rPr>
        <w:t>024</w:t>
      </w:r>
      <w:r w:rsidRPr="00CB3F63">
        <w:t xml:space="preserve"> instructs to omit “and 16404” and substitute “</w:t>
      </w:r>
      <w:bookmarkStart w:id="41" w:name="_Hlk159422973"/>
      <w:r w:rsidRPr="00CB3F63">
        <w:t>16404, 91823, 91825, 91826, 91833, 91836, 92611, 92612, 92613 and 92618</w:t>
      </w:r>
      <w:bookmarkEnd w:id="41"/>
      <w:r w:rsidRPr="00CB3F63">
        <w:t xml:space="preserve">” in </w:t>
      </w:r>
      <w:r>
        <w:t>subclause 1</w:t>
      </w:r>
      <w:r w:rsidRPr="00CB3F63">
        <w:t xml:space="preserve">.2.4(1) of </w:t>
      </w:r>
      <w:r>
        <w:t>Schedule 1</w:t>
      </w:r>
      <w:r w:rsidRPr="00CB3F63">
        <w:t>.</w:t>
      </w:r>
    </w:p>
    <w:p w:rsidR="00BE5F99" w:rsidRPr="00CB3F63" w:rsidRDefault="00BE5F99" w:rsidP="00BE5F99">
      <w:pPr>
        <w:spacing w:after="240"/>
      </w:pPr>
      <w:r>
        <w:t>Subclause 1</w:t>
      </w:r>
      <w:r w:rsidRPr="00CB3F63">
        <w:t xml:space="preserve">.2.4(1) of </w:t>
      </w:r>
      <w:r>
        <w:t>Schedule 1</w:t>
      </w:r>
      <w:r w:rsidRPr="00CB3F63">
        <w:t xml:space="preserve"> reads as follows:</w:t>
      </w:r>
    </w:p>
    <w:p w:rsidR="00BE5F99" w:rsidRPr="00CB3F63" w:rsidRDefault="00BE5F99" w:rsidP="00BE5F99">
      <w:pPr>
        <w:pStyle w:val="subsection"/>
      </w:pPr>
      <w:r w:rsidRPr="00CB3F63">
        <w:tab/>
        <w:t>(1)</w:t>
      </w:r>
      <w:r w:rsidRPr="00CB3F63">
        <w:tab/>
        <w:t xml:space="preserve">Use this clause for </w:t>
      </w:r>
      <w:r>
        <w:t>items 1</w:t>
      </w:r>
      <w:r w:rsidRPr="00CB3F63">
        <w:t>05, 116, 119, 386, 2806, 2814, 3010, 3014, 6009 to 6015, 6019, 605</w:t>
      </w:r>
      <w:r>
        <w:t>2 1</w:t>
      </w:r>
      <w:r w:rsidRPr="00CB3F63">
        <w:t>6404, 91823, 91825, 91826, 91833, 91836, 92611, 92612, 92613 and 92618.</w:t>
      </w:r>
    </w:p>
    <w:p w:rsidR="00BE5F99" w:rsidRPr="00CB3F63" w:rsidRDefault="00BE5F99" w:rsidP="00BE5F99">
      <w:pPr>
        <w:spacing w:before="240" w:after="240"/>
      </w:pPr>
      <w:r w:rsidRPr="00CB3F63">
        <w:t>There is no comma after “6052”.</w:t>
      </w:r>
    </w:p>
    <w:p w:rsidR="00BE5F99" w:rsidRPr="00CB3F63" w:rsidRDefault="00BE5F99" w:rsidP="00BE5F99">
      <w:pPr>
        <w:spacing w:after="240"/>
      </w:pPr>
      <w:r w:rsidRPr="00CB3F63">
        <w:t xml:space="preserve">This compilation was editorially changed to insert a comma after “6052” in </w:t>
      </w:r>
      <w:r>
        <w:t>subclause 1</w:t>
      </w:r>
      <w:r w:rsidRPr="00CB3F63">
        <w:t xml:space="preserve">.2.4(1) of </w:t>
      </w:r>
      <w:r>
        <w:t>Schedule 1</w:t>
      </w:r>
      <w:r w:rsidRPr="00CB3F63">
        <w:t xml:space="preserve"> to correct the punctuation.</w:t>
      </w:r>
    </w:p>
    <w:p w:rsidR="00BE5F99" w:rsidRPr="00CB3F63" w:rsidRDefault="00BE5F99" w:rsidP="00BE5F99">
      <w:pPr>
        <w:spacing w:after="240"/>
        <w:rPr>
          <w:b/>
          <w:sz w:val="24"/>
          <w:szCs w:val="24"/>
        </w:rPr>
      </w:pPr>
      <w:r>
        <w:rPr>
          <w:b/>
          <w:sz w:val="24"/>
          <w:szCs w:val="24"/>
        </w:rPr>
        <w:t>Schedule 1</w:t>
      </w:r>
      <w:r w:rsidRPr="00CB3F63">
        <w:rPr>
          <w:b/>
          <w:sz w:val="24"/>
          <w:szCs w:val="24"/>
        </w:rPr>
        <w:t xml:space="preserve"> (</w:t>
      </w:r>
      <w:r>
        <w:rPr>
          <w:b/>
          <w:sz w:val="24"/>
          <w:szCs w:val="24"/>
        </w:rPr>
        <w:t>item 2</w:t>
      </w:r>
      <w:r w:rsidRPr="00CB3F63">
        <w:rPr>
          <w:b/>
          <w:sz w:val="24"/>
          <w:szCs w:val="24"/>
        </w:rPr>
        <w:t xml:space="preserve">94, column 2, </w:t>
      </w:r>
      <w:r>
        <w:rPr>
          <w:b/>
          <w:sz w:val="24"/>
          <w:szCs w:val="24"/>
        </w:rPr>
        <w:t>paragraph (</w:t>
      </w:r>
      <w:r w:rsidRPr="00CB3F63">
        <w:rPr>
          <w:b/>
          <w:sz w:val="24"/>
          <w:szCs w:val="24"/>
        </w:rPr>
        <w:t>b))</w:t>
      </w:r>
    </w:p>
    <w:p w:rsidR="00BE5F99" w:rsidRPr="00CB3F63" w:rsidRDefault="00BE5F99" w:rsidP="00BE5F99">
      <w:pPr>
        <w:spacing w:after="240"/>
        <w:rPr>
          <w:b/>
        </w:rPr>
      </w:pPr>
      <w:r w:rsidRPr="00CB3F63">
        <w:rPr>
          <w:b/>
        </w:rPr>
        <w:t>Kind of editorial change</w:t>
      </w:r>
    </w:p>
    <w:p w:rsidR="00BE5F99" w:rsidRPr="00CB3F63" w:rsidRDefault="00BE5F99" w:rsidP="00BE5F99">
      <w:pPr>
        <w:spacing w:after="240"/>
      </w:pPr>
      <w:r w:rsidRPr="00CB3F63">
        <w:t>Changes to punctuation and change to grammar, syntax or the use of conjunctives or disjunctives</w:t>
      </w:r>
    </w:p>
    <w:p w:rsidR="00BE5F99" w:rsidRPr="00CB3F63" w:rsidRDefault="00BE5F99" w:rsidP="00BE5F99">
      <w:pPr>
        <w:spacing w:after="240"/>
        <w:rPr>
          <w:b/>
        </w:rPr>
      </w:pPr>
      <w:r w:rsidRPr="00CB3F63">
        <w:rPr>
          <w:b/>
        </w:rPr>
        <w:t>Details of editorial change</w:t>
      </w:r>
    </w:p>
    <w:p w:rsidR="00BE5F99" w:rsidRPr="00CB3F63" w:rsidRDefault="00BE5F99" w:rsidP="00BE5F99">
      <w:pPr>
        <w:spacing w:after="240"/>
      </w:pPr>
      <w:r>
        <w:t>Schedule 1</w:t>
      </w:r>
      <w:r w:rsidRPr="00CB3F63">
        <w:t xml:space="preserve"> </w:t>
      </w:r>
      <w:r>
        <w:t>item 3</w:t>
      </w:r>
      <w:r w:rsidRPr="00CB3F63">
        <w:t xml:space="preserve">7 of the </w:t>
      </w:r>
      <w:r w:rsidRPr="00CB3F63">
        <w:rPr>
          <w:i/>
          <w:szCs w:val="22"/>
        </w:rPr>
        <w:t xml:space="preserve">Health Insurance Legislation Amendment (2024 Measures No. 1) </w:t>
      </w:r>
      <w:r>
        <w:rPr>
          <w:i/>
          <w:szCs w:val="22"/>
        </w:rPr>
        <w:t>Regulations 2</w:t>
      </w:r>
      <w:r w:rsidRPr="00CB3F63">
        <w:rPr>
          <w:i/>
          <w:szCs w:val="22"/>
        </w:rPr>
        <w:t>024</w:t>
      </w:r>
      <w:r w:rsidRPr="00CB3F63">
        <w:t xml:space="preserve"> instructs to omit “348, 350 or 352” from </w:t>
      </w:r>
      <w:r>
        <w:t>paragraph (</w:t>
      </w:r>
      <w:r w:rsidRPr="00CB3F63">
        <w:t xml:space="preserve">b) in column 2 of </w:t>
      </w:r>
      <w:r>
        <w:t>item 2</w:t>
      </w:r>
      <w:r w:rsidRPr="00CB3F63">
        <w:t xml:space="preserve">94 of </w:t>
      </w:r>
      <w:r>
        <w:t>Schedule 1</w:t>
      </w:r>
      <w:r w:rsidRPr="00CB3F63">
        <w:t>.</w:t>
      </w:r>
    </w:p>
    <w:p w:rsidR="00BE5F99" w:rsidRPr="00CB3F63" w:rsidRDefault="00BE5F99" w:rsidP="00BE5F99">
      <w:pPr>
        <w:spacing w:after="240"/>
      </w:pPr>
      <w:r>
        <w:t>Paragraph (</w:t>
      </w:r>
      <w:r w:rsidRPr="00CB3F63">
        <w:t xml:space="preserve">b) of </w:t>
      </w:r>
      <w:r>
        <w:t>item 2</w:t>
      </w:r>
      <w:r w:rsidRPr="00CB3F63">
        <w:t xml:space="preserve">94 of </w:t>
      </w:r>
      <w:r>
        <w:t>Schedule 1</w:t>
      </w:r>
      <w:r w:rsidRPr="00CB3F63">
        <w:t xml:space="preserve"> reads as follows:</w:t>
      </w:r>
    </w:p>
    <w:p w:rsidR="00BE5F99" w:rsidRPr="00CB3F63" w:rsidRDefault="00BE5F99" w:rsidP="00BE5F99">
      <w:pPr>
        <w:pStyle w:val="Tablea"/>
        <w:spacing w:after="240"/>
        <w:rPr>
          <w:lang w:eastAsia="en-US"/>
        </w:rPr>
      </w:pPr>
      <w:r w:rsidRPr="00CB3F63">
        <w:rPr>
          <w:lang w:eastAsia="en-US"/>
        </w:rPr>
        <w:t xml:space="preserve">(b) </w:t>
      </w:r>
      <w:r w:rsidRPr="00CB3F63">
        <w:t>except for the requirement for the attendance to be at consulting rooms—</w:t>
      </w:r>
      <w:r>
        <w:rPr>
          <w:lang w:eastAsia="en-US"/>
        </w:rPr>
        <w:t>item 2</w:t>
      </w:r>
      <w:r w:rsidRPr="00CB3F63">
        <w:rPr>
          <w:lang w:eastAsia="en-US"/>
        </w:rPr>
        <w:t>91, 293, 296, 300, 302, 304, 306, 308, 310, 312, 314, 316, 318, 319, would otherwise apply to the attendance; and</w:t>
      </w:r>
    </w:p>
    <w:p w:rsidR="00BE5F99" w:rsidRPr="00CB3F63" w:rsidRDefault="00BE5F99" w:rsidP="00BE5F99">
      <w:pPr>
        <w:spacing w:before="240" w:after="240"/>
      </w:pPr>
      <w:r w:rsidRPr="00CB3F63">
        <w:t>A comma appears between “318” and “319” and a comma appears after “319”.</w:t>
      </w:r>
    </w:p>
    <w:p w:rsidR="00BE5F99" w:rsidRPr="00CB3F63" w:rsidRDefault="00BE5F99" w:rsidP="00BE5F99">
      <w:pPr>
        <w:spacing w:after="240"/>
      </w:pPr>
      <w:r w:rsidRPr="00CB3F63">
        <w:t xml:space="preserve">This compilation was editorially changed to omit the comma after “318” and substitute “or” and to omit the comma after “319” in </w:t>
      </w:r>
      <w:r>
        <w:t>paragraph (</w:t>
      </w:r>
      <w:r w:rsidRPr="00CB3F63">
        <w:t xml:space="preserve">b) of column 2 of </w:t>
      </w:r>
      <w:r>
        <w:t>item 2</w:t>
      </w:r>
      <w:r w:rsidRPr="00CB3F63">
        <w:t xml:space="preserve">94 of </w:t>
      </w:r>
      <w:r>
        <w:t>Schedule 1</w:t>
      </w:r>
      <w:r w:rsidRPr="00CB3F63">
        <w:t xml:space="preserve"> to correct the punctuation and grammatical error.</w:t>
      </w:r>
    </w:p>
    <w:p w:rsidR="00BE5F99" w:rsidRPr="00CB3F63" w:rsidRDefault="00BE5F99" w:rsidP="00913203">
      <w:pPr>
        <w:keepNext/>
        <w:keepLines/>
        <w:spacing w:after="240"/>
        <w:rPr>
          <w:b/>
          <w:sz w:val="24"/>
          <w:szCs w:val="24"/>
        </w:rPr>
      </w:pPr>
      <w:r>
        <w:rPr>
          <w:b/>
          <w:sz w:val="24"/>
          <w:szCs w:val="24"/>
        </w:rPr>
        <w:lastRenderedPageBreak/>
        <w:t>Schedule 1</w:t>
      </w:r>
      <w:r w:rsidRPr="00CB3F63">
        <w:rPr>
          <w:b/>
          <w:sz w:val="24"/>
          <w:szCs w:val="24"/>
        </w:rPr>
        <w:t xml:space="preserve"> (</w:t>
      </w:r>
      <w:r>
        <w:rPr>
          <w:b/>
          <w:sz w:val="24"/>
          <w:szCs w:val="24"/>
        </w:rPr>
        <w:t>item 2</w:t>
      </w:r>
      <w:r w:rsidRPr="00CB3F63">
        <w:rPr>
          <w:b/>
          <w:sz w:val="24"/>
          <w:szCs w:val="24"/>
        </w:rPr>
        <w:t>96, column 2)</w:t>
      </w:r>
    </w:p>
    <w:p w:rsidR="00BE5F99" w:rsidRPr="00CB3F63" w:rsidRDefault="00BE5F99" w:rsidP="00913203">
      <w:pPr>
        <w:keepNext/>
        <w:keepLines/>
        <w:spacing w:after="240"/>
        <w:rPr>
          <w:b/>
        </w:rPr>
      </w:pPr>
      <w:r w:rsidRPr="00CB3F63">
        <w:rPr>
          <w:b/>
        </w:rPr>
        <w:t>Kind of editorial change</w:t>
      </w:r>
    </w:p>
    <w:p w:rsidR="00BE5F99" w:rsidRPr="00CB3F63" w:rsidRDefault="00BE5F99" w:rsidP="00BE5F99">
      <w:pPr>
        <w:spacing w:after="240"/>
      </w:pPr>
      <w:r w:rsidRPr="00CB3F63">
        <w:t>Give effect to the misdescribed amendment as intended</w:t>
      </w:r>
    </w:p>
    <w:p w:rsidR="00BE5F99" w:rsidRPr="00CB3F63" w:rsidRDefault="00BE5F99" w:rsidP="00BE5F99">
      <w:pPr>
        <w:spacing w:after="240"/>
        <w:rPr>
          <w:b/>
        </w:rPr>
      </w:pPr>
      <w:r w:rsidRPr="00CB3F63">
        <w:rPr>
          <w:b/>
        </w:rPr>
        <w:t>Details of editorial change</w:t>
      </w:r>
    </w:p>
    <w:p w:rsidR="00BE5F99" w:rsidRPr="00CB3F63" w:rsidRDefault="00BE5F99" w:rsidP="00BE5F99">
      <w:pPr>
        <w:spacing w:after="240"/>
      </w:pPr>
      <w:r>
        <w:t>Schedule 1</w:t>
      </w:r>
      <w:r w:rsidRPr="00CB3F63">
        <w:t xml:space="preserve"> </w:t>
      </w:r>
      <w:r>
        <w:t>item 3</w:t>
      </w:r>
      <w:r w:rsidRPr="00CB3F63">
        <w:t xml:space="preserve">8 of the </w:t>
      </w:r>
      <w:r w:rsidRPr="00CB3F63">
        <w:rPr>
          <w:i/>
          <w:szCs w:val="22"/>
        </w:rPr>
        <w:t xml:space="preserve">Health Insurance Legislation Amendment (2024 Measures No. 1) </w:t>
      </w:r>
      <w:r>
        <w:rPr>
          <w:i/>
          <w:szCs w:val="22"/>
        </w:rPr>
        <w:t>Regulations 2</w:t>
      </w:r>
      <w:r w:rsidRPr="00CB3F63">
        <w:rPr>
          <w:i/>
          <w:szCs w:val="22"/>
        </w:rPr>
        <w:t>024</w:t>
      </w:r>
      <w:r w:rsidRPr="00CB3F63">
        <w:t xml:space="preserve"> instructs to omit “</w:t>
      </w:r>
      <w:bookmarkStart w:id="42" w:name="_Hlk159425843"/>
      <w:r w:rsidRPr="00CB3F63">
        <w:t xml:space="preserve">, or </w:t>
      </w:r>
      <w:r>
        <w:t>item 2</w:t>
      </w:r>
      <w:r w:rsidRPr="00CB3F63">
        <w:t>97 or 299 or any of items of 300 to 308</w:t>
      </w:r>
      <w:bookmarkEnd w:id="42"/>
      <w:r w:rsidRPr="00CB3F63">
        <w:t xml:space="preserve">” and substitute “or any of items 297, 299, 300, 302, 304, 306, 308, </w:t>
      </w:r>
      <w:r w:rsidRPr="00CB3F63">
        <w:rPr>
          <w:shd w:val="clear" w:color="auto" w:fill="FFFFFF"/>
        </w:rPr>
        <w:t>91827 to 91831, 91837 to 91839 and 92437</w:t>
      </w:r>
      <w:r w:rsidRPr="00CB3F63">
        <w:t xml:space="preserve">” from column 2 of </w:t>
      </w:r>
      <w:r>
        <w:t>item 2</w:t>
      </w:r>
      <w:r w:rsidRPr="00CB3F63">
        <w:t xml:space="preserve">96 of </w:t>
      </w:r>
      <w:r>
        <w:t>Schedule 1</w:t>
      </w:r>
      <w:r w:rsidRPr="00CB3F63">
        <w:t>.</w:t>
      </w:r>
    </w:p>
    <w:p w:rsidR="00BE5F99" w:rsidRPr="00CB3F63" w:rsidRDefault="00BE5F99" w:rsidP="00BE5F99">
      <w:pPr>
        <w:spacing w:after="240"/>
      </w:pPr>
      <w:r w:rsidRPr="00CB3F63">
        <w:t xml:space="preserve">The text “, or </w:t>
      </w:r>
      <w:r>
        <w:t>item 2</w:t>
      </w:r>
      <w:r w:rsidRPr="00CB3F63">
        <w:t xml:space="preserve">97 or 299 or any of items of 300 to 308” does not appear in column 2 of </w:t>
      </w:r>
      <w:r>
        <w:t>item 2</w:t>
      </w:r>
      <w:r w:rsidRPr="00CB3F63">
        <w:t xml:space="preserve">96 of </w:t>
      </w:r>
      <w:r>
        <w:t>Schedule 1</w:t>
      </w:r>
      <w:r w:rsidRPr="00CB3F63">
        <w:t xml:space="preserve">. However, the text “, or </w:t>
      </w:r>
      <w:r>
        <w:t>item 2</w:t>
      </w:r>
      <w:r w:rsidRPr="00CB3F63">
        <w:t>97 or 299 or any of items 300 to 308” does appear.</w:t>
      </w:r>
    </w:p>
    <w:p w:rsidR="00BE5F99" w:rsidRPr="00CB3F63" w:rsidRDefault="00BE5F99" w:rsidP="00BE5F99">
      <w:pPr>
        <w:spacing w:after="240"/>
      </w:pPr>
      <w:r w:rsidRPr="00CB3F63">
        <w:t xml:space="preserve">This compilation was editorially changed to omit “, or </w:t>
      </w:r>
      <w:r>
        <w:t>item 2</w:t>
      </w:r>
      <w:r w:rsidRPr="00CB3F63">
        <w:t xml:space="preserve">97 or 299 or any of items 300 to 308” and substitute “or any of items 297, 299, 300, 302, 304, 306, 308, </w:t>
      </w:r>
      <w:r w:rsidRPr="00CB3F63">
        <w:rPr>
          <w:shd w:val="clear" w:color="auto" w:fill="FFFFFF"/>
        </w:rPr>
        <w:t>91827 to 91831, 91837 to 91839 and 92437</w:t>
      </w:r>
      <w:r w:rsidRPr="00CB3F63">
        <w:t xml:space="preserve">” from column 2 of </w:t>
      </w:r>
      <w:r>
        <w:t>item 2</w:t>
      </w:r>
      <w:r w:rsidRPr="00CB3F63">
        <w:t xml:space="preserve">96 of </w:t>
      </w:r>
      <w:r>
        <w:t>Schedule 1</w:t>
      </w:r>
      <w:r w:rsidRPr="00CB3F63">
        <w:t xml:space="preserve"> to give effect to the misdescribed amendment as intended.</w:t>
      </w:r>
    </w:p>
    <w:p w:rsidR="00BE5F99" w:rsidRPr="00CB3F63" w:rsidRDefault="00BE5F99" w:rsidP="00BE5F99">
      <w:pPr>
        <w:spacing w:after="240"/>
        <w:rPr>
          <w:b/>
          <w:sz w:val="24"/>
          <w:szCs w:val="24"/>
        </w:rPr>
      </w:pPr>
      <w:bookmarkStart w:id="43" w:name="_Hlk160099386"/>
      <w:r>
        <w:rPr>
          <w:b/>
          <w:sz w:val="24"/>
          <w:szCs w:val="24"/>
        </w:rPr>
        <w:t>Schedule 1</w:t>
      </w:r>
      <w:r w:rsidRPr="00CB3F63">
        <w:rPr>
          <w:b/>
          <w:sz w:val="24"/>
          <w:szCs w:val="24"/>
        </w:rPr>
        <w:t xml:space="preserve"> (</w:t>
      </w:r>
      <w:r>
        <w:rPr>
          <w:b/>
          <w:sz w:val="24"/>
          <w:szCs w:val="24"/>
        </w:rPr>
        <w:t>item 3</w:t>
      </w:r>
      <w:r w:rsidRPr="00CB3F63">
        <w:rPr>
          <w:b/>
          <w:sz w:val="24"/>
          <w:szCs w:val="24"/>
        </w:rPr>
        <w:t>8557, column 2)</w:t>
      </w:r>
    </w:p>
    <w:p w:rsidR="00BE5F99" w:rsidRPr="00CB3F63" w:rsidRDefault="00BE5F99" w:rsidP="00BE5F99">
      <w:pPr>
        <w:spacing w:after="240"/>
        <w:rPr>
          <w:b/>
        </w:rPr>
      </w:pPr>
      <w:r w:rsidRPr="00CB3F63">
        <w:rPr>
          <w:b/>
        </w:rPr>
        <w:t>Kind of editorial change</w:t>
      </w:r>
    </w:p>
    <w:p w:rsidR="00BE5F99" w:rsidRPr="00CB3F63" w:rsidRDefault="00BE5F99" w:rsidP="00BE5F99">
      <w:pPr>
        <w:spacing w:after="240"/>
      </w:pPr>
      <w:r w:rsidRPr="00CB3F63">
        <w:t>Give effect to the misdescribed amendment as intended</w:t>
      </w:r>
    </w:p>
    <w:p w:rsidR="00BE5F99" w:rsidRPr="00CB3F63" w:rsidRDefault="00BE5F99" w:rsidP="00BE5F99">
      <w:pPr>
        <w:spacing w:after="240"/>
        <w:rPr>
          <w:b/>
        </w:rPr>
      </w:pPr>
      <w:r w:rsidRPr="00CB3F63">
        <w:rPr>
          <w:b/>
        </w:rPr>
        <w:t>Details of editorial change</w:t>
      </w:r>
    </w:p>
    <w:p w:rsidR="00BE5F99" w:rsidRPr="00CB3F63" w:rsidRDefault="00BE5F99" w:rsidP="00BE5F99">
      <w:pPr>
        <w:spacing w:after="240"/>
      </w:pPr>
      <w:r>
        <w:t>Schedule 1</w:t>
      </w:r>
      <w:r w:rsidRPr="00CB3F63">
        <w:t xml:space="preserve"> </w:t>
      </w:r>
      <w:r>
        <w:t>item 6</w:t>
      </w:r>
      <w:r w:rsidRPr="00CB3F63">
        <w:t xml:space="preserve">8 of the </w:t>
      </w:r>
      <w:r w:rsidRPr="00CB3F63">
        <w:rPr>
          <w:i/>
          <w:noProof/>
        </w:rPr>
        <w:t xml:space="preserve">Health Insurance Legislation Amendment (2024 Measures No. 1) </w:t>
      </w:r>
      <w:r>
        <w:rPr>
          <w:i/>
          <w:noProof/>
        </w:rPr>
        <w:t>Regulations 2</w:t>
      </w:r>
      <w:r w:rsidRPr="00CB3F63">
        <w:rPr>
          <w:i/>
          <w:noProof/>
        </w:rPr>
        <w:t>024</w:t>
      </w:r>
      <w:r w:rsidRPr="00CB3F63">
        <w:t xml:space="preserve"> instructs to insert “, performed by any medical practitioner,” after “with a service” from column 2 of </w:t>
      </w:r>
      <w:r>
        <w:t>item 3</w:t>
      </w:r>
      <w:r w:rsidRPr="00CB3F63">
        <w:t xml:space="preserve">8557 of </w:t>
      </w:r>
      <w:r>
        <w:t>Schedule 1</w:t>
      </w:r>
      <w:r w:rsidRPr="00CB3F63">
        <w:t>.</w:t>
      </w:r>
    </w:p>
    <w:p w:rsidR="00BE5F99" w:rsidRPr="00CB3F63" w:rsidRDefault="00BE5F99" w:rsidP="00BE5F99">
      <w:pPr>
        <w:spacing w:after="240"/>
      </w:pPr>
      <w:r w:rsidRPr="00CB3F63">
        <w:t xml:space="preserve">The words “with a service” appear twice in column 2 of </w:t>
      </w:r>
      <w:r>
        <w:t>item 3</w:t>
      </w:r>
      <w:r w:rsidRPr="00CB3F63">
        <w:t xml:space="preserve">8557 of </w:t>
      </w:r>
      <w:r>
        <w:t>Schedule 1</w:t>
      </w:r>
      <w:r w:rsidRPr="00CB3F63">
        <w:t>.</w:t>
      </w:r>
    </w:p>
    <w:p w:rsidR="00BE5F99" w:rsidRPr="00CB3F63" w:rsidRDefault="00BE5F99" w:rsidP="00BE5F99">
      <w:pPr>
        <w:spacing w:after="240"/>
      </w:pPr>
      <w:r w:rsidRPr="00CB3F63">
        <w:t xml:space="preserve">This compilation was editorially changed to insert “, performed by any medical practitioner,” after “with a service” (first occurring) from column 2 of </w:t>
      </w:r>
      <w:r>
        <w:t>item 3</w:t>
      </w:r>
      <w:r w:rsidRPr="00CB3F63">
        <w:t xml:space="preserve">8557 of </w:t>
      </w:r>
      <w:r>
        <w:t>Schedule 1</w:t>
      </w:r>
      <w:r w:rsidRPr="00CB3F63">
        <w:t xml:space="preserve"> to give effect to the misdescribed amendment as intended.</w:t>
      </w:r>
    </w:p>
    <w:bookmarkEnd w:id="43"/>
    <w:p w:rsidR="00BE5F99" w:rsidRPr="00CB3F63" w:rsidRDefault="00BE5F99" w:rsidP="00BE5F99">
      <w:pPr>
        <w:keepNext/>
        <w:keepLines/>
        <w:spacing w:after="240"/>
        <w:rPr>
          <w:b/>
          <w:sz w:val="24"/>
          <w:szCs w:val="24"/>
        </w:rPr>
      </w:pPr>
      <w:r>
        <w:rPr>
          <w:b/>
          <w:sz w:val="24"/>
          <w:szCs w:val="24"/>
        </w:rPr>
        <w:t>Schedule 1</w:t>
      </w:r>
      <w:r w:rsidRPr="00CB3F63">
        <w:rPr>
          <w:b/>
          <w:sz w:val="24"/>
          <w:szCs w:val="24"/>
        </w:rPr>
        <w:t xml:space="preserve"> (</w:t>
      </w:r>
      <w:r>
        <w:rPr>
          <w:b/>
          <w:sz w:val="24"/>
          <w:szCs w:val="24"/>
        </w:rPr>
        <w:t>item 4</w:t>
      </w:r>
      <w:r w:rsidRPr="00CB3F63">
        <w:rPr>
          <w:b/>
          <w:sz w:val="24"/>
          <w:szCs w:val="24"/>
        </w:rPr>
        <w:t>9518, column 2)</w:t>
      </w:r>
    </w:p>
    <w:p w:rsidR="00BE5F99" w:rsidRPr="00CB3F63" w:rsidRDefault="00BE5F99" w:rsidP="00BE5F99">
      <w:pPr>
        <w:keepNext/>
        <w:keepLines/>
        <w:spacing w:after="240"/>
        <w:rPr>
          <w:b/>
        </w:rPr>
      </w:pPr>
      <w:r w:rsidRPr="00CB3F63">
        <w:rPr>
          <w:b/>
        </w:rPr>
        <w:t>Kind of editorial change</w:t>
      </w:r>
    </w:p>
    <w:p w:rsidR="00BE5F99" w:rsidRPr="00CB3F63" w:rsidRDefault="00BE5F99" w:rsidP="00BE5F99">
      <w:pPr>
        <w:spacing w:after="240"/>
      </w:pPr>
      <w:r w:rsidRPr="00CB3F63">
        <w:t>Give effect to the misdescribed amendment as intended</w:t>
      </w:r>
    </w:p>
    <w:p w:rsidR="00BE5F99" w:rsidRPr="00CB3F63" w:rsidRDefault="00BE5F99" w:rsidP="00BE5F99">
      <w:pPr>
        <w:spacing w:after="240"/>
        <w:rPr>
          <w:b/>
        </w:rPr>
      </w:pPr>
      <w:r w:rsidRPr="00CB3F63">
        <w:rPr>
          <w:b/>
        </w:rPr>
        <w:t>Details of editorial change</w:t>
      </w:r>
    </w:p>
    <w:p w:rsidR="00BE5F99" w:rsidRPr="00CB3F63" w:rsidRDefault="00BE5F99" w:rsidP="00BE5F99">
      <w:pPr>
        <w:spacing w:after="240"/>
      </w:pPr>
      <w:r>
        <w:t>Schedule 1</w:t>
      </w:r>
      <w:r w:rsidRPr="00CB3F63">
        <w:t xml:space="preserve"> </w:t>
      </w:r>
      <w:r>
        <w:t>item 1</w:t>
      </w:r>
      <w:r w:rsidRPr="00CB3F63">
        <w:t xml:space="preserve">32 of the </w:t>
      </w:r>
      <w:r w:rsidRPr="00CB3F63">
        <w:rPr>
          <w:i/>
          <w:noProof/>
        </w:rPr>
        <w:t xml:space="preserve">Health Insurance Legislation Amendment (2024 Measures No. 1) </w:t>
      </w:r>
      <w:r>
        <w:rPr>
          <w:i/>
          <w:noProof/>
        </w:rPr>
        <w:t>Regulations 2</w:t>
      </w:r>
      <w:r w:rsidRPr="00CB3F63">
        <w:rPr>
          <w:i/>
          <w:noProof/>
        </w:rPr>
        <w:t>024</w:t>
      </w:r>
      <w:r w:rsidRPr="00CB3F63">
        <w:t xml:space="preserve"> instructs to omit “replacement” from column 2 of </w:t>
      </w:r>
      <w:r>
        <w:t>items 4</w:t>
      </w:r>
      <w:r w:rsidRPr="00CB3F63">
        <w:t xml:space="preserve">9518 and 49519 of </w:t>
      </w:r>
      <w:r>
        <w:t>Schedule 1</w:t>
      </w:r>
      <w:r w:rsidRPr="00CB3F63">
        <w:t>.</w:t>
      </w:r>
    </w:p>
    <w:p w:rsidR="00BE5F99" w:rsidRPr="00CB3F63" w:rsidRDefault="00BE5F99" w:rsidP="00BE5F99">
      <w:pPr>
        <w:spacing w:after="240"/>
      </w:pPr>
      <w:r w:rsidRPr="00CB3F63">
        <w:t xml:space="preserve">The word “replacement” appears three times in column 2 of </w:t>
      </w:r>
      <w:r>
        <w:t>item 4</w:t>
      </w:r>
      <w:r w:rsidRPr="00CB3F63">
        <w:t xml:space="preserve">9518 of </w:t>
      </w:r>
      <w:r>
        <w:t>Schedule 1</w:t>
      </w:r>
      <w:r w:rsidRPr="00CB3F63">
        <w:t>.</w:t>
      </w:r>
    </w:p>
    <w:p w:rsidR="00BE5F99" w:rsidRPr="00CB3F63" w:rsidRDefault="00BE5F99" w:rsidP="00BE5F99">
      <w:r w:rsidRPr="00CB3F63">
        <w:t xml:space="preserve">This compilation was editorially changed to omit “replacement” (first occurring) from column 2 of </w:t>
      </w:r>
      <w:r>
        <w:t>item 4</w:t>
      </w:r>
      <w:r w:rsidRPr="00CB3F63">
        <w:t xml:space="preserve">9518 of </w:t>
      </w:r>
      <w:r>
        <w:t>Schedule 1</w:t>
      </w:r>
      <w:r w:rsidRPr="00CB3F63">
        <w:t xml:space="preserve"> to give effect to the misdescribed amendment as intended.</w:t>
      </w:r>
    </w:p>
    <w:p w:rsidR="00150CD2" w:rsidRPr="00150CD2" w:rsidRDefault="00150CD2" w:rsidP="00150CD2">
      <w:pPr>
        <w:pStyle w:val="Head2"/>
        <w:keepLines/>
        <w:spacing w:after="240"/>
        <w:rPr>
          <w:lang w:val="es-CL"/>
        </w:rPr>
      </w:pPr>
      <w:r>
        <w:rPr>
          <w:lang w:val="es-CL"/>
        </w:rPr>
        <w:lastRenderedPageBreak/>
        <w:t>Private Health Insurance (Medical Devices and Human Tissue Products) Rules (No. 2) 2023</w:t>
      </w:r>
      <w:r>
        <w:t>, Compilation No. 1, Registration Date: 4 March 202</w:t>
      </w:r>
      <w:r w:rsidRPr="00150CD2">
        <w:rPr>
          <w:lang w:val="es-CL"/>
        </w:rPr>
        <w:t>4 [F2024C00188]</w:t>
      </w:r>
    </w:p>
    <w:p w:rsidR="00150CD2" w:rsidRDefault="00150CD2" w:rsidP="00150CD2">
      <w:pPr>
        <w:spacing w:after="240"/>
        <w:rPr>
          <w:b/>
          <w:sz w:val="24"/>
          <w:szCs w:val="24"/>
        </w:rPr>
      </w:pPr>
      <w:r>
        <w:rPr>
          <w:b/>
          <w:sz w:val="24"/>
          <w:szCs w:val="24"/>
        </w:rPr>
        <w:t>S</w:t>
      </w:r>
      <w:r w:rsidRPr="00A53C1E">
        <w:rPr>
          <w:b/>
          <w:sz w:val="24"/>
          <w:szCs w:val="24"/>
        </w:rPr>
        <w:t>ubsection 24(2)</w:t>
      </w:r>
      <w:r>
        <w:rPr>
          <w:b/>
          <w:sz w:val="24"/>
          <w:szCs w:val="24"/>
        </w:rPr>
        <w:t xml:space="preserve"> (note 2)</w:t>
      </w:r>
    </w:p>
    <w:p w:rsidR="00150CD2" w:rsidRPr="004549F1" w:rsidRDefault="00150CD2" w:rsidP="00150CD2">
      <w:pPr>
        <w:spacing w:after="240"/>
        <w:rPr>
          <w:b/>
        </w:rPr>
      </w:pPr>
      <w:r w:rsidRPr="004549F1">
        <w:rPr>
          <w:b/>
        </w:rPr>
        <w:t>Kind of editorial change</w:t>
      </w:r>
    </w:p>
    <w:p w:rsidR="00150CD2" w:rsidRPr="0018341F" w:rsidRDefault="00150CD2" w:rsidP="00150CD2">
      <w:pPr>
        <w:spacing w:after="240"/>
      </w:pPr>
      <w:r w:rsidRPr="00A53C1E">
        <w:t>Give effect to the misdescribed amendment as intended</w:t>
      </w:r>
    </w:p>
    <w:p w:rsidR="00150CD2" w:rsidRPr="004549F1" w:rsidRDefault="00150CD2" w:rsidP="00150CD2">
      <w:pPr>
        <w:spacing w:after="240"/>
        <w:rPr>
          <w:b/>
        </w:rPr>
      </w:pPr>
      <w:r w:rsidRPr="004549F1">
        <w:rPr>
          <w:b/>
        </w:rPr>
        <w:t>Details of editorial change</w:t>
      </w:r>
    </w:p>
    <w:p w:rsidR="00150CD2" w:rsidRDefault="00150CD2" w:rsidP="00150CD2">
      <w:pPr>
        <w:spacing w:after="240"/>
      </w:pPr>
      <w:r>
        <w:t xml:space="preserve">Schedule 1 item 13 of the </w:t>
      </w:r>
      <w:r w:rsidRPr="00864FD8">
        <w:rPr>
          <w:i/>
        </w:rPr>
        <w:t>Private Health Insurance (Medical Devices and Human Tissue Products) Amendment Rules (No. 2) 2023</w:t>
      </w:r>
      <w:r>
        <w:t xml:space="preserve"> instructs to omit “4” and substitute “5” in </w:t>
      </w:r>
      <w:r w:rsidRPr="00FE2CAC">
        <w:t>note 2 to subsection 23(5)</w:t>
      </w:r>
      <w:r>
        <w:t>.</w:t>
      </w:r>
    </w:p>
    <w:p w:rsidR="00150CD2" w:rsidRDefault="00150CD2" w:rsidP="00150CD2">
      <w:pPr>
        <w:spacing w:after="240"/>
      </w:pPr>
      <w:r>
        <w:t xml:space="preserve">The number “4” does not appear in </w:t>
      </w:r>
      <w:r w:rsidRPr="001C2BC3">
        <w:t>note 2 to subsection 23(5)</w:t>
      </w:r>
      <w:r>
        <w:t>. However, “4” does appear in note 2 to subsection 24(2).</w:t>
      </w:r>
    </w:p>
    <w:p w:rsidR="00150CD2" w:rsidRDefault="00150CD2" w:rsidP="00150CD2">
      <w:pPr>
        <w:spacing w:after="240"/>
      </w:pPr>
      <w:r>
        <w:t>This compilation was editorially changed to omit “4” and substitute “5” in note 2 to subsection 24(2) to give effect to the misdescribed amendment as intended.</w:t>
      </w:r>
    </w:p>
    <w:p w:rsidR="00150CD2" w:rsidRDefault="00150CD2" w:rsidP="00150CD2">
      <w:pPr>
        <w:spacing w:after="240"/>
        <w:rPr>
          <w:b/>
          <w:sz w:val="24"/>
          <w:szCs w:val="24"/>
        </w:rPr>
      </w:pPr>
      <w:r>
        <w:rPr>
          <w:b/>
          <w:sz w:val="24"/>
          <w:szCs w:val="24"/>
        </w:rPr>
        <w:t>S</w:t>
      </w:r>
      <w:r w:rsidRPr="00A53C1E">
        <w:rPr>
          <w:b/>
          <w:sz w:val="24"/>
          <w:szCs w:val="24"/>
        </w:rPr>
        <w:t>ubsection 24(2)</w:t>
      </w:r>
      <w:r>
        <w:rPr>
          <w:b/>
          <w:sz w:val="24"/>
          <w:szCs w:val="24"/>
        </w:rPr>
        <w:t xml:space="preserve"> (note 3)</w:t>
      </w:r>
    </w:p>
    <w:p w:rsidR="00150CD2" w:rsidRPr="004549F1" w:rsidRDefault="00150CD2" w:rsidP="00150CD2">
      <w:pPr>
        <w:spacing w:after="240"/>
        <w:rPr>
          <w:b/>
        </w:rPr>
      </w:pPr>
      <w:r w:rsidRPr="004549F1">
        <w:rPr>
          <w:b/>
        </w:rPr>
        <w:t>Kind of editorial change</w:t>
      </w:r>
    </w:p>
    <w:p w:rsidR="00150CD2" w:rsidRPr="0018341F" w:rsidRDefault="00150CD2" w:rsidP="00150CD2">
      <w:pPr>
        <w:spacing w:after="240"/>
      </w:pPr>
      <w:r w:rsidRPr="00A53C1E">
        <w:t>Give effect to the misdescribed amendment as intended</w:t>
      </w:r>
    </w:p>
    <w:p w:rsidR="00150CD2" w:rsidRPr="004549F1" w:rsidRDefault="00150CD2" w:rsidP="00150CD2">
      <w:pPr>
        <w:spacing w:after="240"/>
        <w:rPr>
          <w:b/>
        </w:rPr>
      </w:pPr>
      <w:r w:rsidRPr="004549F1">
        <w:rPr>
          <w:b/>
        </w:rPr>
        <w:t>Details of editorial change</w:t>
      </w:r>
    </w:p>
    <w:p w:rsidR="00150CD2" w:rsidRDefault="00150CD2" w:rsidP="00150CD2">
      <w:pPr>
        <w:spacing w:after="240"/>
      </w:pPr>
      <w:r>
        <w:t xml:space="preserve">Schedule 1 item 14 of the </w:t>
      </w:r>
      <w:r w:rsidRPr="00864FD8">
        <w:rPr>
          <w:i/>
        </w:rPr>
        <w:t>Private Health Insurance (Medical Devices and Human Tissue Products) Amendment Rules (No. 2) 2023</w:t>
      </w:r>
      <w:r>
        <w:t xml:space="preserve"> instructs to repeal and substitute note 3 to subsection 23(5).</w:t>
      </w:r>
    </w:p>
    <w:p w:rsidR="00150CD2" w:rsidRDefault="00150CD2" w:rsidP="00150CD2">
      <w:pPr>
        <w:spacing w:after="240"/>
      </w:pPr>
      <w:r>
        <w:t>Note 3 does not appear in subsection 23(5). However, note 3 does appear in subsection 24(2).</w:t>
      </w:r>
    </w:p>
    <w:p w:rsidR="00150CD2" w:rsidRPr="004549F1" w:rsidRDefault="00150CD2" w:rsidP="00150CD2">
      <w:r>
        <w:t>This compilation was editorially changed to repeal and substitute note 3 to subsection 24(2) to give effect to the misdescribed amendment as intended.</w:t>
      </w:r>
    </w:p>
    <w:p w:rsidR="003E0031" w:rsidRDefault="003E0031" w:rsidP="003E0031">
      <w:pPr>
        <w:pStyle w:val="Head2"/>
        <w:keepLines/>
        <w:spacing w:after="240"/>
      </w:pPr>
      <w:r w:rsidRPr="00A22F22">
        <w:t xml:space="preserve">Customs (Prohibited Exports) </w:t>
      </w:r>
      <w:r>
        <w:t>Regulations 1</w:t>
      </w:r>
      <w:r w:rsidRPr="00A22F22">
        <w:t>958</w:t>
      </w:r>
      <w:r>
        <w:t>, Compilation No. 108, Registration Date: 1 March 2024 [</w:t>
      </w:r>
      <w:r w:rsidRPr="003E0031">
        <w:t>F2024C00185</w:t>
      </w:r>
      <w:r>
        <w:t>]</w:t>
      </w:r>
    </w:p>
    <w:p w:rsidR="00B8078C" w:rsidRPr="00A22F22" w:rsidRDefault="00B8078C" w:rsidP="00B8078C">
      <w:pPr>
        <w:spacing w:after="240"/>
        <w:rPr>
          <w:b/>
          <w:sz w:val="24"/>
          <w:szCs w:val="24"/>
        </w:rPr>
      </w:pPr>
      <w:r>
        <w:rPr>
          <w:b/>
          <w:sz w:val="24"/>
          <w:szCs w:val="24"/>
        </w:rPr>
        <w:t>Part 2</w:t>
      </w:r>
      <w:r w:rsidRPr="00A22F22">
        <w:rPr>
          <w:b/>
          <w:sz w:val="24"/>
          <w:szCs w:val="24"/>
        </w:rPr>
        <w:t xml:space="preserve"> of </w:t>
      </w:r>
      <w:r>
        <w:rPr>
          <w:b/>
          <w:sz w:val="24"/>
          <w:szCs w:val="24"/>
        </w:rPr>
        <w:t>Schedule 8</w:t>
      </w:r>
      <w:r w:rsidRPr="00A22F22">
        <w:rPr>
          <w:b/>
          <w:sz w:val="24"/>
          <w:szCs w:val="24"/>
        </w:rPr>
        <w:t xml:space="preserve"> (table </w:t>
      </w:r>
      <w:r>
        <w:rPr>
          <w:b/>
          <w:sz w:val="24"/>
          <w:szCs w:val="24"/>
        </w:rPr>
        <w:t>item 1</w:t>
      </w:r>
      <w:r w:rsidRPr="00A22F22">
        <w:rPr>
          <w:b/>
          <w:sz w:val="24"/>
          <w:szCs w:val="24"/>
        </w:rPr>
        <w:t>AAA) (first occurring)</w:t>
      </w:r>
    </w:p>
    <w:p w:rsidR="00B8078C" w:rsidRPr="00A22F22" w:rsidRDefault="00B8078C" w:rsidP="00B8078C">
      <w:pPr>
        <w:spacing w:after="240"/>
        <w:rPr>
          <w:b/>
        </w:rPr>
      </w:pPr>
      <w:r w:rsidRPr="00A22F22">
        <w:rPr>
          <w:b/>
        </w:rPr>
        <w:t>Kind of editorial change</w:t>
      </w:r>
    </w:p>
    <w:p w:rsidR="00B8078C" w:rsidRPr="00A22F22" w:rsidRDefault="00B8078C" w:rsidP="00B8078C">
      <w:pPr>
        <w:spacing w:after="240"/>
      </w:pPr>
      <w:r w:rsidRPr="00A22F22">
        <w:t>Numbering or renumbering of provisions</w:t>
      </w:r>
    </w:p>
    <w:p w:rsidR="00B8078C" w:rsidRPr="00A22F22" w:rsidRDefault="00B8078C" w:rsidP="00B8078C">
      <w:pPr>
        <w:spacing w:after="240"/>
        <w:rPr>
          <w:b/>
        </w:rPr>
      </w:pPr>
      <w:r w:rsidRPr="00A22F22">
        <w:rPr>
          <w:b/>
        </w:rPr>
        <w:t>Details of editorial change</w:t>
      </w:r>
    </w:p>
    <w:p w:rsidR="00B8078C" w:rsidRPr="00A22F22" w:rsidRDefault="00B8078C" w:rsidP="00B8078C">
      <w:pPr>
        <w:spacing w:after="240"/>
        <w:rPr>
          <w:szCs w:val="22"/>
        </w:rPr>
      </w:pPr>
      <w:r w:rsidRPr="00A22F22">
        <w:rPr>
          <w:szCs w:val="22"/>
        </w:rPr>
        <w:t xml:space="preserve">Table </w:t>
      </w:r>
      <w:r>
        <w:rPr>
          <w:szCs w:val="22"/>
        </w:rPr>
        <w:t>item 1</w:t>
      </w:r>
      <w:r w:rsidRPr="00A22F22">
        <w:t>AAA</w:t>
      </w:r>
      <w:r w:rsidRPr="00A22F22">
        <w:rPr>
          <w:szCs w:val="22"/>
        </w:rPr>
        <w:t xml:space="preserve"> appears twice in </w:t>
      </w:r>
      <w:r>
        <w:rPr>
          <w:szCs w:val="22"/>
        </w:rPr>
        <w:t>Part 2</w:t>
      </w:r>
      <w:r w:rsidRPr="00A22F22">
        <w:rPr>
          <w:szCs w:val="22"/>
        </w:rPr>
        <w:t xml:space="preserve"> of </w:t>
      </w:r>
      <w:r>
        <w:rPr>
          <w:szCs w:val="22"/>
        </w:rPr>
        <w:t>Schedule 8</w:t>
      </w:r>
      <w:r w:rsidRPr="00A22F22">
        <w:rPr>
          <w:szCs w:val="22"/>
        </w:rPr>
        <w:t>.</w:t>
      </w:r>
    </w:p>
    <w:p w:rsidR="00B8078C" w:rsidRPr="00A22F22" w:rsidRDefault="00B8078C" w:rsidP="00B8078C">
      <w:r w:rsidRPr="00A22F22">
        <w:t xml:space="preserve">This compilation was editorially changed by renumbering the first occurring table </w:t>
      </w:r>
      <w:r>
        <w:t>item 1</w:t>
      </w:r>
      <w:r w:rsidRPr="00A22F22">
        <w:t xml:space="preserve">AAA as table </w:t>
      </w:r>
      <w:r>
        <w:t>item 1</w:t>
      </w:r>
      <w:r w:rsidRPr="00A22F22">
        <w:t>AAAA.</w:t>
      </w:r>
    </w:p>
    <w:p w:rsidR="005D7297" w:rsidRDefault="00F96673" w:rsidP="005D7297">
      <w:pPr>
        <w:pStyle w:val="Head2"/>
        <w:keepLines/>
        <w:spacing w:after="240"/>
      </w:pPr>
      <w:r w:rsidRPr="001A52A8">
        <w:lastRenderedPageBreak/>
        <w:t>National Health (Price and Special Patient Contribution) Determination 2022</w:t>
      </w:r>
      <w:r>
        <w:t xml:space="preserve"> (</w:t>
      </w:r>
      <w:r w:rsidRPr="001A52A8">
        <w:t>PB 98 of 2022</w:t>
      </w:r>
      <w:r>
        <w:t>)</w:t>
      </w:r>
      <w:r w:rsidR="005D7297">
        <w:t>, Compilation No. </w:t>
      </w:r>
      <w:r>
        <w:t>14</w:t>
      </w:r>
      <w:r w:rsidR="005D7297">
        <w:t xml:space="preserve">, Registration Date: </w:t>
      </w:r>
      <w:r>
        <w:t>2</w:t>
      </w:r>
      <w:r w:rsidR="005D7297">
        <w:t>1 February 2024 [</w:t>
      </w:r>
      <w:r w:rsidRPr="00F96673">
        <w:t>F2024C00170</w:t>
      </w:r>
      <w:r w:rsidR="005D7297">
        <w:t>]</w:t>
      </w:r>
    </w:p>
    <w:p w:rsidR="00F96673" w:rsidRPr="004549F1" w:rsidRDefault="00F96673" w:rsidP="00F96673">
      <w:pPr>
        <w:spacing w:after="240"/>
        <w:rPr>
          <w:b/>
          <w:sz w:val="24"/>
          <w:szCs w:val="24"/>
        </w:rPr>
      </w:pPr>
      <w:r w:rsidRPr="003D6043">
        <w:rPr>
          <w:b/>
          <w:sz w:val="24"/>
          <w:szCs w:val="24"/>
        </w:rPr>
        <w:t>Schedule 1, entry for Fluconazole</w:t>
      </w:r>
    </w:p>
    <w:p w:rsidR="00F96673" w:rsidRPr="004549F1" w:rsidRDefault="00F96673" w:rsidP="00F96673">
      <w:pPr>
        <w:spacing w:after="240"/>
        <w:rPr>
          <w:b/>
        </w:rPr>
      </w:pPr>
      <w:r w:rsidRPr="004549F1">
        <w:rPr>
          <w:b/>
        </w:rPr>
        <w:t>Kind of editorial change</w:t>
      </w:r>
    </w:p>
    <w:p w:rsidR="00F96673" w:rsidRPr="0018341F" w:rsidRDefault="00F96673" w:rsidP="00F96673">
      <w:pPr>
        <w:spacing w:after="240"/>
      </w:pPr>
      <w:r w:rsidRPr="003D6043">
        <w:t>Removal of redundant text</w:t>
      </w:r>
    </w:p>
    <w:p w:rsidR="00F96673" w:rsidRPr="004549F1" w:rsidRDefault="00F96673" w:rsidP="00F96673">
      <w:pPr>
        <w:spacing w:after="240"/>
        <w:rPr>
          <w:b/>
        </w:rPr>
      </w:pPr>
      <w:r w:rsidRPr="004549F1">
        <w:rPr>
          <w:b/>
        </w:rPr>
        <w:t>Details of editorial change</w:t>
      </w:r>
    </w:p>
    <w:p w:rsidR="00F96673" w:rsidRDefault="00F96673" w:rsidP="00F96673">
      <w:pPr>
        <w:spacing w:after="240"/>
      </w:pPr>
      <w:r>
        <w:t xml:space="preserve">Schedule 1 item 2 of the </w:t>
      </w:r>
      <w:r w:rsidRPr="00634FEB">
        <w:rPr>
          <w:i/>
        </w:rPr>
        <w:t>National Health (Price and Special Patient Contribution) Amendment Determination 2024 (No. 1)</w:t>
      </w:r>
      <w:r>
        <w:t xml:space="preserve"> (PB 9 of 2024) instructs to omit and substitute the entry for Fluconazole in Schedule 1.</w:t>
      </w:r>
    </w:p>
    <w:p w:rsidR="00F96673" w:rsidRDefault="00F96673" w:rsidP="00F96673">
      <w:pPr>
        <w:spacing w:after="240"/>
      </w:pPr>
      <w:r w:rsidRPr="00AE5D3C">
        <w:t xml:space="preserve">In the Schedule 1 entry for </w:t>
      </w:r>
      <w:r>
        <w:t>Fluconazole</w:t>
      </w:r>
      <w:r w:rsidRPr="00AE5D3C">
        <w:t xml:space="preserve">, text appears in </w:t>
      </w:r>
      <w:r>
        <w:t>the second</w:t>
      </w:r>
      <w:r w:rsidRPr="00AE5D3C">
        <w:t xml:space="preserve"> row rather than just the first row in the column headed “</w:t>
      </w:r>
      <w:r w:rsidRPr="007009B5">
        <w:rPr>
          <w:b/>
        </w:rPr>
        <w:t>Listed drug</w:t>
      </w:r>
      <w:r w:rsidRPr="00AE5D3C">
        <w:t>”</w:t>
      </w:r>
      <w:r>
        <w:t>.</w:t>
      </w:r>
    </w:p>
    <w:p w:rsidR="00F96673" w:rsidRDefault="00F96673" w:rsidP="00F96673">
      <w:pPr>
        <w:spacing w:after="240"/>
      </w:pPr>
      <w:r w:rsidRPr="002B43CA">
        <w:t>This compilation was editorial</w:t>
      </w:r>
      <w:r>
        <w:t>ly</w:t>
      </w:r>
      <w:r w:rsidRPr="002B43CA">
        <w:t xml:space="preserve"> changed to remove the second occurrence of “</w:t>
      </w:r>
      <w:r>
        <w:t>Fluconazole</w:t>
      </w:r>
      <w:r w:rsidRPr="002B43CA">
        <w:t>” from the column headed “</w:t>
      </w:r>
      <w:r w:rsidRPr="007009B5">
        <w:rPr>
          <w:b/>
        </w:rPr>
        <w:t>Listed drug</w:t>
      </w:r>
      <w:r w:rsidRPr="002B43CA">
        <w:t xml:space="preserve">” in the Schedule 1 entry for </w:t>
      </w:r>
      <w:r>
        <w:t>Fluconazole</w:t>
      </w:r>
      <w:r w:rsidRPr="002B43CA">
        <w:t xml:space="preserve"> to remove the redundant text.</w:t>
      </w:r>
    </w:p>
    <w:p w:rsidR="00F96673" w:rsidRPr="004549F1" w:rsidRDefault="00F96673" w:rsidP="00F96673">
      <w:pPr>
        <w:spacing w:after="240"/>
        <w:rPr>
          <w:b/>
          <w:sz w:val="24"/>
          <w:szCs w:val="24"/>
        </w:rPr>
      </w:pPr>
      <w:r>
        <w:rPr>
          <w:b/>
          <w:sz w:val="24"/>
          <w:szCs w:val="24"/>
        </w:rPr>
        <w:t>Schedule 2, entry for Eprosartan</w:t>
      </w:r>
    </w:p>
    <w:p w:rsidR="00F96673" w:rsidRPr="004549F1" w:rsidRDefault="00F96673" w:rsidP="00F96673">
      <w:pPr>
        <w:spacing w:after="240"/>
        <w:rPr>
          <w:b/>
        </w:rPr>
      </w:pPr>
      <w:r w:rsidRPr="004549F1">
        <w:rPr>
          <w:b/>
        </w:rPr>
        <w:t>Kind of editorial change</w:t>
      </w:r>
    </w:p>
    <w:p w:rsidR="00F96673" w:rsidRPr="0018341F" w:rsidRDefault="00F96673" w:rsidP="00F96673">
      <w:pPr>
        <w:spacing w:after="240"/>
      </w:pPr>
      <w:r w:rsidRPr="0013295D">
        <w:t>Give effect to the misdescribed amendment as intended</w:t>
      </w:r>
    </w:p>
    <w:p w:rsidR="00F96673" w:rsidRPr="004549F1" w:rsidRDefault="00F96673" w:rsidP="00F96673">
      <w:pPr>
        <w:spacing w:after="240"/>
        <w:rPr>
          <w:b/>
        </w:rPr>
      </w:pPr>
      <w:r w:rsidRPr="004549F1">
        <w:rPr>
          <w:b/>
        </w:rPr>
        <w:t>Details of editorial change</w:t>
      </w:r>
    </w:p>
    <w:p w:rsidR="00F96673" w:rsidRDefault="00F96673" w:rsidP="00F96673">
      <w:pPr>
        <w:spacing w:after="240"/>
      </w:pPr>
      <w:r>
        <w:t xml:space="preserve">Schedule 1 item 7 of the </w:t>
      </w:r>
      <w:r w:rsidRPr="00634FEB">
        <w:rPr>
          <w:i/>
        </w:rPr>
        <w:t>National Health (Price and Special Patient Contribution) Amendment Determination 2024 (No. 1)</w:t>
      </w:r>
      <w:r>
        <w:t xml:space="preserve"> (PB 9 of 2024) instructs to omit and substitute the entry for Eprosartan in Schedule 2.</w:t>
      </w:r>
    </w:p>
    <w:p w:rsidR="00F96673" w:rsidRDefault="00F96673" w:rsidP="00F96673">
      <w:pPr>
        <w:spacing w:after="240"/>
      </w:pPr>
      <w:r>
        <w:t>The text contained in the column headed “</w:t>
      </w:r>
      <w:r w:rsidRPr="00C127F3">
        <w:rPr>
          <w:b/>
        </w:rPr>
        <w:t>Listed Drug</w:t>
      </w:r>
      <w:r>
        <w:t xml:space="preserve">” does not exactly match the text to be omitted as outlined in Schedule 1 item 7 of the </w:t>
      </w:r>
      <w:r w:rsidRPr="00C01C83">
        <w:rPr>
          <w:i/>
        </w:rPr>
        <w:t>National Health (Price and Special Patient Contribution) Amendment Determination 2024 (No. 1)</w:t>
      </w:r>
      <w:r>
        <w:t xml:space="preserve"> (PB 9 of 2024).</w:t>
      </w:r>
    </w:p>
    <w:p w:rsidR="00F96673" w:rsidRDefault="00F96673" w:rsidP="00F96673">
      <w:r>
        <w:t>This compilation was editorially changed to omit and substitute the entry for Eprosartan in Schedule 2 to give effect to the misdescribed amendment as intended.</w:t>
      </w:r>
    </w:p>
    <w:p w:rsidR="006E0453" w:rsidRDefault="006E0453" w:rsidP="0059289E">
      <w:pPr>
        <w:pStyle w:val="Head2"/>
        <w:keepLines/>
        <w:spacing w:after="240"/>
      </w:pPr>
      <w:r w:rsidRPr="00884D29">
        <w:lastRenderedPageBreak/>
        <w:t xml:space="preserve">National Health (Minimum Stockholding) </w:t>
      </w:r>
      <w:r>
        <w:t>Determination 2</w:t>
      </w:r>
      <w:r w:rsidRPr="00884D29">
        <w:t>023</w:t>
      </w:r>
      <w:r>
        <w:t xml:space="preserve"> (</w:t>
      </w:r>
      <w:r w:rsidRPr="00884D29">
        <w:t>PB 65 of 2023</w:t>
      </w:r>
      <w:r>
        <w:t>), Compilation No. 5, Registration Date: 19 February 2024 [</w:t>
      </w:r>
      <w:r w:rsidRPr="006E0453">
        <w:t>F2024C00164</w:t>
      </w:r>
      <w:r>
        <w:t>]</w:t>
      </w:r>
    </w:p>
    <w:p w:rsidR="00585E2B" w:rsidRPr="004549F1" w:rsidRDefault="00585E2B" w:rsidP="0059289E">
      <w:pPr>
        <w:keepNext/>
        <w:keepLines/>
        <w:spacing w:after="240"/>
        <w:rPr>
          <w:b/>
          <w:sz w:val="24"/>
          <w:szCs w:val="24"/>
        </w:rPr>
      </w:pPr>
      <w:r>
        <w:rPr>
          <w:b/>
          <w:sz w:val="24"/>
          <w:szCs w:val="24"/>
        </w:rPr>
        <w:t>Schedule 1</w:t>
      </w:r>
    </w:p>
    <w:p w:rsidR="00585E2B" w:rsidRPr="004549F1" w:rsidRDefault="00585E2B" w:rsidP="0059289E">
      <w:pPr>
        <w:keepNext/>
        <w:keepLines/>
        <w:spacing w:after="240"/>
        <w:rPr>
          <w:b/>
        </w:rPr>
      </w:pPr>
      <w:r w:rsidRPr="004549F1">
        <w:rPr>
          <w:b/>
        </w:rPr>
        <w:t>Kind of editorial change</w:t>
      </w:r>
    </w:p>
    <w:p w:rsidR="00585E2B" w:rsidRPr="0018341F" w:rsidRDefault="00585E2B" w:rsidP="0059289E">
      <w:pPr>
        <w:keepNext/>
        <w:keepLines/>
        <w:spacing w:after="240"/>
      </w:pPr>
      <w:r w:rsidRPr="00C8731F">
        <w:t>Give effect to the misdescribed amendment as intended</w:t>
      </w:r>
    </w:p>
    <w:p w:rsidR="00585E2B" w:rsidRPr="004549F1" w:rsidRDefault="00585E2B" w:rsidP="0059289E">
      <w:pPr>
        <w:keepNext/>
        <w:keepLines/>
        <w:spacing w:after="240"/>
        <w:rPr>
          <w:b/>
        </w:rPr>
      </w:pPr>
      <w:r w:rsidRPr="004549F1">
        <w:rPr>
          <w:b/>
        </w:rPr>
        <w:t>Details of editorial change</w:t>
      </w:r>
    </w:p>
    <w:p w:rsidR="00585E2B" w:rsidRDefault="00585E2B" w:rsidP="00585E2B">
      <w:pPr>
        <w:spacing w:after="240"/>
      </w:pPr>
      <w:r>
        <w:t xml:space="preserve">Schedule 1 item 62 of the </w:t>
      </w:r>
      <w:r w:rsidRPr="00125EA7">
        <w:rPr>
          <w:i/>
        </w:rPr>
        <w:t>National Health (Minimum Stockholding) Amendment Determination (No. 1) 2024</w:t>
      </w:r>
      <w:r>
        <w:t xml:space="preserve"> (PB 10 of 2024) instructs to omit the entries for Paroxetine and </w:t>
      </w:r>
      <w:r w:rsidRPr="00F613CC">
        <w:t>Pegfilgrastim</w:t>
      </w:r>
      <w:r>
        <w:t xml:space="preserve"> from Schedule 1.</w:t>
      </w:r>
    </w:p>
    <w:p w:rsidR="00585E2B" w:rsidRDefault="00585E2B" w:rsidP="00585E2B">
      <w:pPr>
        <w:spacing w:after="240"/>
      </w:pPr>
      <w:r w:rsidRPr="00416FFE">
        <w:t>The text contained in the column headed “</w:t>
      </w:r>
      <w:r w:rsidRPr="00137877">
        <w:rPr>
          <w:b/>
        </w:rPr>
        <w:t>Column 5 Applicable quantity</w:t>
      </w:r>
      <w:r w:rsidRPr="00416FFE">
        <w:t xml:space="preserve">” </w:t>
      </w:r>
      <w:r>
        <w:t xml:space="preserve">for the entry of </w:t>
      </w:r>
      <w:r w:rsidRPr="00F613CC">
        <w:t>Paroxetine</w:t>
      </w:r>
      <w:r>
        <w:t xml:space="preserve"> </w:t>
      </w:r>
      <w:r w:rsidRPr="00416FFE">
        <w:t xml:space="preserve">does not exactly match the text to be omitted as outlined in </w:t>
      </w:r>
      <w:r>
        <w:t xml:space="preserve">Schedule 1 item 62 of the </w:t>
      </w:r>
      <w:r w:rsidRPr="00125EA7">
        <w:rPr>
          <w:i/>
        </w:rPr>
        <w:t>National Health (Minimum Stockholding) Amendment Determination (No. 1) 2024</w:t>
      </w:r>
      <w:r>
        <w:t xml:space="preserve"> (PB 10 of 2024).</w:t>
      </w:r>
    </w:p>
    <w:p w:rsidR="00585E2B" w:rsidRPr="00884D29" w:rsidRDefault="00585E2B" w:rsidP="00585E2B">
      <w:r w:rsidRPr="008D090A">
        <w:t>This compilation was editorially changed to omit the e</w:t>
      </w:r>
      <w:r>
        <w:t xml:space="preserve">ntry for Paroxetine from Schedule 1 </w:t>
      </w:r>
      <w:r w:rsidRPr="008D090A">
        <w:t>to give effect to the misdescribed amendment as intended.</w:t>
      </w:r>
    </w:p>
    <w:p w:rsidR="00851759" w:rsidRDefault="00851759" w:rsidP="007442F8">
      <w:pPr>
        <w:pStyle w:val="Head2"/>
        <w:keepLines/>
        <w:spacing w:after="240"/>
      </w:pPr>
      <w:r w:rsidRPr="00735A43">
        <w:t>National Redress Scheme for Institutional Child Sexual Abuse (Partly</w:t>
      </w:r>
      <w:r>
        <w:noBreakHyphen/>
      </w:r>
      <w:r w:rsidRPr="00735A43">
        <w:t xml:space="preserve">participating Institutions) </w:t>
      </w:r>
      <w:r>
        <w:t>Declaration 2</w:t>
      </w:r>
      <w:r w:rsidRPr="00735A43">
        <w:t>023</w:t>
      </w:r>
      <w:r>
        <w:t xml:space="preserve">, Compilation No. 2, Registration Date: </w:t>
      </w:r>
      <w:r w:rsidR="00B95D0F">
        <w:t>13</w:t>
      </w:r>
      <w:r>
        <w:t> February 2024 [</w:t>
      </w:r>
      <w:r w:rsidR="00B95D0F" w:rsidRPr="00B95D0F">
        <w:t>F2024C00149</w:t>
      </w:r>
      <w:r>
        <w:t>]</w:t>
      </w:r>
    </w:p>
    <w:p w:rsidR="00E404F5" w:rsidRPr="004549F1" w:rsidRDefault="00E404F5" w:rsidP="007442F8">
      <w:pPr>
        <w:keepNext/>
        <w:keepLines/>
        <w:spacing w:after="240"/>
        <w:rPr>
          <w:b/>
          <w:sz w:val="24"/>
          <w:szCs w:val="24"/>
        </w:rPr>
      </w:pPr>
      <w:r>
        <w:rPr>
          <w:b/>
          <w:sz w:val="24"/>
          <w:szCs w:val="24"/>
        </w:rPr>
        <w:t>Schedule 1</w:t>
      </w:r>
    </w:p>
    <w:p w:rsidR="00E404F5" w:rsidRPr="004549F1" w:rsidRDefault="00E404F5" w:rsidP="007442F8">
      <w:pPr>
        <w:keepNext/>
        <w:keepLines/>
        <w:spacing w:after="240"/>
        <w:rPr>
          <w:b/>
        </w:rPr>
      </w:pPr>
      <w:r w:rsidRPr="004549F1">
        <w:rPr>
          <w:b/>
        </w:rPr>
        <w:t>Kind of editorial change</w:t>
      </w:r>
    </w:p>
    <w:p w:rsidR="00E404F5" w:rsidRPr="00FE732A" w:rsidRDefault="00E404F5" w:rsidP="00E404F5">
      <w:pPr>
        <w:spacing w:after="240"/>
      </w:pPr>
      <w:r w:rsidRPr="00FC182B">
        <w:t>Removal of redundant text</w:t>
      </w:r>
    </w:p>
    <w:p w:rsidR="00E404F5" w:rsidRPr="004549F1" w:rsidRDefault="00E404F5" w:rsidP="00E404F5">
      <w:pPr>
        <w:spacing w:after="240"/>
        <w:rPr>
          <w:b/>
        </w:rPr>
      </w:pPr>
      <w:r w:rsidRPr="004549F1">
        <w:rPr>
          <w:b/>
        </w:rPr>
        <w:t>Details of editorial change</w:t>
      </w:r>
    </w:p>
    <w:p w:rsidR="00E404F5" w:rsidRDefault="00E404F5" w:rsidP="00E404F5">
      <w:pPr>
        <w:spacing w:after="240"/>
      </w:pPr>
      <w:r>
        <w:t xml:space="preserve">Schedule 2 item 2 of the </w:t>
      </w:r>
      <w:r w:rsidRPr="00211D05">
        <w:rPr>
          <w:i/>
        </w:rPr>
        <w:t>National Redress Scheme for Institutional Child Sexual Abuse Amendment (Partly</w:t>
      </w:r>
      <w:r>
        <w:rPr>
          <w:i/>
        </w:rPr>
        <w:noBreakHyphen/>
      </w:r>
      <w:r w:rsidRPr="00211D05">
        <w:rPr>
          <w:i/>
        </w:rPr>
        <w:t xml:space="preserve">participating Institutions) </w:t>
      </w:r>
      <w:r>
        <w:rPr>
          <w:i/>
        </w:rPr>
        <w:t>Declaration 2</w:t>
      </w:r>
      <w:r w:rsidRPr="00211D05">
        <w:rPr>
          <w:i/>
        </w:rPr>
        <w:t>023 (No. 3)</w:t>
      </w:r>
      <w:r>
        <w:t xml:space="preserve"> provides as follows:</w:t>
      </w:r>
    </w:p>
    <w:p w:rsidR="00E404F5" w:rsidRPr="00211D05" w:rsidRDefault="00E404F5" w:rsidP="00E404F5">
      <w:pPr>
        <w:pStyle w:val="ItemHead"/>
        <w:ind w:left="720" w:hanging="360"/>
      </w:pPr>
      <w:r w:rsidRPr="00211D05">
        <w:t>2</w:t>
      </w:r>
      <w:r w:rsidRPr="00211D05">
        <w:tab/>
      </w:r>
      <w:r>
        <w:t>Schedule 1</w:t>
      </w:r>
      <w:r w:rsidRPr="00211D05">
        <w:t>—Listed partly</w:t>
      </w:r>
      <w:r>
        <w:noBreakHyphen/>
      </w:r>
      <w:r w:rsidRPr="00211D05">
        <w:t>participating institutions (at the end of the table)</w:t>
      </w:r>
    </w:p>
    <w:p w:rsidR="00E404F5" w:rsidRPr="00211D05" w:rsidRDefault="00E404F5" w:rsidP="00E404F5">
      <w:pPr>
        <w:pStyle w:val="Item"/>
        <w:rPr>
          <w:sz w:val="20"/>
        </w:rPr>
      </w:pPr>
      <w:r w:rsidRPr="00211D05">
        <w:t>Add:</w:t>
      </w:r>
    </w:p>
    <w:p w:rsidR="00E404F5" w:rsidRPr="001620F3" w:rsidRDefault="00E404F5" w:rsidP="00E404F5">
      <w:pPr>
        <w:rPr>
          <w:bCs/>
          <w:lang w:eastAsia="en-AU"/>
        </w:rPr>
      </w:pPr>
    </w:p>
    <w:tbl>
      <w:tblPr>
        <w:tblW w:w="8222" w:type="dxa"/>
        <w:tblCellMar>
          <w:left w:w="0" w:type="dxa"/>
          <w:right w:w="0" w:type="dxa"/>
        </w:tblCellMar>
        <w:tblLook w:val="04A0" w:firstRow="1" w:lastRow="0" w:firstColumn="1" w:lastColumn="0" w:noHBand="0" w:noVBand="1"/>
      </w:tblPr>
      <w:tblGrid>
        <w:gridCol w:w="709"/>
        <w:gridCol w:w="4678"/>
        <w:gridCol w:w="2835"/>
      </w:tblGrid>
      <w:tr w:rsidR="00E404F5" w:rsidRPr="00211D05" w:rsidTr="00D3141E">
        <w:trPr>
          <w:trHeight w:val="319"/>
        </w:trPr>
        <w:tc>
          <w:tcPr>
            <w:tcW w:w="709" w:type="dxa"/>
            <w:tcBorders>
              <w:top w:val="single" w:sz="8" w:space="0" w:color="auto"/>
              <w:left w:val="nil"/>
              <w:bottom w:val="single" w:sz="8" w:space="0" w:color="auto"/>
              <w:right w:val="nil"/>
            </w:tcBorders>
            <w:hideMark/>
          </w:tcPr>
          <w:p w:rsidR="00E404F5" w:rsidRPr="00211D05" w:rsidRDefault="00E404F5" w:rsidP="00D3141E">
            <w:pPr>
              <w:tabs>
                <w:tab w:val="left" w:pos="5700"/>
              </w:tabs>
              <w:spacing w:line="240" w:lineRule="auto"/>
              <w:rPr>
                <w:rFonts w:cs="Times New Roman"/>
                <w:b/>
                <w:sz w:val="20"/>
                <w:szCs w:val="22"/>
              </w:rPr>
            </w:pPr>
            <w:r w:rsidRPr="00211D05">
              <w:rPr>
                <w:rFonts w:cs="Times New Roman"/>
                <w:b/>
                <w:sz w:val="20"/>
                <w:szCs w:val="22"/>
              </w:rPr>
              <w:t>Item</w:t>
            </w:r>
          </w:p>
        </w:tc>
        <w:tc>
          <w:tcPr>
            <w:tcW w:w="4678" w:type="dxa"/>
            <w:tcBorders>
              <w:top w:val="single" w:sz="8" w:space="0" w:color="auto"/>
              <w:left w:val="nil"/>
              <w:bottom w:val="single" w:sz="8" w:space="0" w:color="auto"/>
              <w:right w:val="nil"/>
            </w:tcBorders>
            <w:tcMar>
              <w:top w:w="0" w:type="dxa"/>
              <w:left w:w="108" w:type="dxa"/>
              <w:bottom w:w="0" w:type="dxa"/>
              <w:right w:w="108" w:type="dxa"/>
            </w:tcMar>
            <w:hideMark/>
          </w:tcPr>
          <w:p w:rsidR="00E404F5" w:rsidRPr="00211D05" w:rsidRDefault="00E404F5" w:rsidP="00D3141E">
            <w:pPr>
              <w:tabs>
                <w:tab w:val="left" w:pos="5700"/>
              </w:tabs>
              <w:spacing w:line="240" w:lineRule="auto"/>
              <w:rPr>
                <w:rFonts w:cs="Times New Roman"/>
                <w:b/>
                <w:sz w:val="20"/>
                <w:szCs w:val="22"/>
              </w:rPr>
            </w:pPr>
            <w:r w:rsidRPr="00211D05">
              <w:rPr>
                <w:rFonts w:cs="Times New Roman"/>
                <w:b/>
                <w:sz w:val="20"/>
                <w:szCs w:val="22"/>
              </w:rPr>
              <w:t>Column 1</w:t>
            </w:r>
          </w:p>
          <w:p w:rsidR="00E404F5" w:rsidRPr="00211D05" w:rsidRDefault="00E404F5" w:rsidP="00D3141E">
            <w:pPr>
              <w:tabs>
                <w:tab w:val="left" w:pos="5700"/>
              </w:tabs>
              <w:spacing w:after="20" w:line="240" w:lineRule="auto"/>
              <w:rPr>
                <w:rFonts w:cs="Times New Roman"/>
                <w:b/>
                <w:sz w:val="20"/>
                <w:szCs w:val="22"/>
              </w:rPr>
            </w:pPr>
            <w:r w:rsidRPr="00211D05">
              <w:rPr>
                <w:rFonts w:cs="Times New Roman"/>
                <w:b/>
                <w:sz w:val="20"/>
                <w:szCs w:val="22"/>
              </w:rPr>
              <w:t>Partly</w:t>
            </w:r>
            <w:r>
              <w:rPr>
                <w:rFonts w:cs="Times New Roman"/>
                <w:b/>
                <w:sz w:val="20"/>
                <w:szCs w:val="22"/>
              </w:rPr>
              <w:noBreakHyphen/>
            </w:r>
            <w:r w:rsidRPr="00211D05">
              <w:rPr>
                <w:rFonts w:cs="Times New Roman"/>
                <w:b/>
                <w:sz w:val="20"/>
                <w:szCs w:val="22"/>
              </w:rPr>
              <w:t>participating institution</w:t>
            </w:r>
          </w:p>
        </w:tc>
        <w:tc>
          <w:tcPr>
            <w:tcW w:w="2835" w:type="dxa"/>
            <w:tcBorders>
              <w:top w:val="single" w:sz="8" w:space="0" w:color="auto"/>
              <w:left w:val="nil"/>
              <w:bottom w:val="single" w:sz="8" w:space="0" w:color="auto"/>
              <w:right w:val="nil"/>
            </w:tcBorders>
            <w:hideMark/>
          </w:tcPr>
          <w:p w:rsidR="00E404F5" w:rsidRPr="00211D05" w:rsidRDefault="00E404F5" w:rsidP="00D3141E">
            <w:pPr>
              <w:tabs>
                <w:tab w:val="left" w:pos="5700"/>
              </w:tabs>
              <w:spacing w:line="240" w:lineRule="auto"/>
              <w:rPr>
                <w:rFonts w:cs="Times New Roman"/>
                <w:b/>
                <w:sz w:val="20"/>
                <w:szCs w:val="22"/>
              </w:rPr>
            </w:pPr>
            <w:r w:rsidRPr="00211D05">
              <w:rPr>
                <w:rFonts w:cs="Times New Roman"/>
                <w:b/>
                <w:sz w:val="20"/>
                <w:szCs w:val="22"/>
              </w:rPr>
              <w:t>Column 2</w:t>
            </w:r>
          </w:p>
          <w:p w:rsidR="00E404F5" w:rsidRPr="00211D05" w:rsidRDefault="00E404F5" w:rsidP="00D3141E">
            <w:pPr>
              <w:tabs>
                <w:tab w:val="left" w:pos="5700"/>
              </w:tabs>
              <w:spacing w:line="240" w:lineRule="auto"/>
              <w:rPr>
                <w:rFonts w:cs="Times New Roman"/>
                <w:b/>
                <w:sz w:val="20"/>
                <w:szCs w:val="22"/>
              </w:rPr>
            </w:pPr>
            <w:r w:rsidRPr="00211D05">
              <w:rPr>
                <w:rFonts w:cs="Times New Roman"/>
                <w:b/>
                <w:sz w:val="20"/>
                <w:szCs w:val="22"/>
              </w:rPr>
              <w:t>Participating jurisdiction</w:t>
            </w:r>
          </w:p>
        </w:tc>
      </w:tr>
      <w:tr w:rsidR="00E404F5" w:rsidTr="00D3141E">
        <w:trPr>
          <w:trHeight w:val="319"/>
        </w:trPr>
        <w:tc>
          <w:tcPr>
            <w:tcW w:w="709" w:type="dxa"/>
            <w:tcBorders>
              <w:top w:val="single" w:sz="8" w:space="0" w:color="auto"/>
              <w:left w:val="nil"/>
              <w:bottom w:val="single" w:sz="8" w:space="0" w:color="auto"/>
              <w:right w:val="nil"/>
            </w:tcBorders>
          </w:tcPr>
          <w:p w:rsidR="00E404F5" w:rsidRPr="00211D05" w:rsidRDefault="00E404F5" w:rsidP="00D3141E">
            <w:pPr>
              <w:tabs>
                <w:tab w:val="left" w:pos="5700"/>
              </w:tabs>
              <w:spacing w:line="240" w:lineRule="auto"/>
              <w:rPr>
                <w:rFonts w:cs="Times New Roman"/>
                <w:sz w:val="20"/>
                <w:szCs w:val="22"/>
              </w:rPr>
            </w:pPr>
            <w:r w:rsidRPr="00211D05">
              <w:rPr>
                <w:rFonts w:cs="Times New Roman"/>
                <w:sz w:val="20"/>
                <w:szCs w:val="22"/>
              </w:rPr>
              <w:t>4</w:t>
            </w:r>
          </w:p>
        </w:tc>
        <w:tc>
          <w:tcPr>
            <w:tcW w:w="4678" w:type="dxa"/>
            <w:tcBorders>
              <w:top w:val="single" w:sz="8" w:space="0" w:color="auto"/>
              <w:left w:val="nil"/>
              <w:bottom w:val="single" w:sz="8" w:space="0" w:color="auto"/>
              <w:right w:val="nil"/>
            </w:tcBorders>
            <w:tcMar>
              <w:top w:w="0" w:type="dxa"/>
              <w:left w:w="108" w:type="dxa"/>
              <w:bottom w:w="0" w:type="dxa"/>
              <w:right w:w="108" w:type="dxa"/>
            </w:tcMar>
          </w:tcPr>
          <w:p w:rsidR="00E404F5" w:rsidRPr="00211D05" w:rsidRDefault="00E404F5" w:rsidP="00D3141E">
            <w:pPr>
              <w:tabs>
                <w:tab w:val="left" w:pos="5700"/>
              </w:tabs>
              <w:spacing w:line="240" w:lineRule="auto"/>
              <w:rPr>
                <w:rFonts w:cs="Times New Roman"/>
                <w:sz w:val="20"/>
                <w:szCs w:val="22"/>
              </w:rPr>
            </w:pPr>
            <w:r w:rsidRPr="00211D05">
              <w:rPr>
                <w:rFonts w:cs="Times New Roman"/>
                <w:sz w:val="20"/>
                <w:szCs w:val="22"/>
              </w:rPr>
              <w:t>The Portsea Camp</w:t>
            </w:r>
          </w:p>
        </w:tc>
        <w:tc>
          <w:tcPr>
            <w:tcW w:w="2835" w:type="dxa"/>
            <w:tcBorders>
              <w:top w:val="single" w:sz="8" w:space="0" w:color="auto"/>
              <w:left w:val="nil"/>
              <w:bottom w:val="single" w:sz="8" w:space="0" w:color="auto"/>
              <w:right w:val="nil"/>
            </w:tcBorders>
          </w:tcPr>
          <w:p w:rsidR="00E404F5" w:rsidRPr="00B25127" w:rsidRDefault="00E404F5" w:rsidP="00D3141E">
            <w:pPr>
              <w:tabs>
                <w:tab w:val="left" w:pos="5700"/>
              </w:tabs>
              <w:spacing w:line="240" w:lineRule="auto"/>
              <w:rPr>
                <w:rFonts w:cs="Times New Roman"/>
                <w:sz w:val="20"/>
                <w:szCs w:val="22"/>
              </w:rPr>
            </w:pPr>
            <w:r w:rsidRPr="00211D05">
              <w:rPr>
                <w:rFonts w:cs="Times New Roman"/>
                <w:sz w:val="20"/>
                <w:szCs w:val="22"/>
              </w:rPr>
              <w:t>Victoria</w:t>
            </w:r>
          </w:p>
        </w:tc>
      </w:tr>
    </w:tbl>
    <w:p w:rsidR="00E404F5" w:rsidRDefault="00E404F5" w:rsidP="00E404F5">
      <w:pPr>
        <w:spacing w:before="240" w:after="240"/>
      </w:pPr>
      <w:r>
        <w:t>This amendment results in two occurrences of the table column headings in the table.</w:t>
      </w:r>
    </w:p>
    <w:p w:rsidR="00E404F5" w:rsidRDefault="00E404F5" w:rsidP="00E404F5">
      <w:r>
        <w:t>This compilation was editorially changed to omit the second occurrence of the table column headings from Schedule 1 to remove the redundant text.</w:t>
      </w:r>
    </w:p>
    <w:p w:rsidR="00602129" w:rsidRDefault="00602129" w:rsidP="00602129">
      <w:pPr>
        <w:pStyle w:val="Head2"/>
        <w:keepLines/>
        <w:spacing w:after="240"/>
      </w:pPr>
      <w:r w:rsidRPr="00EB3729">
        <w:lastRenderedPageBreak/>
        <w:t>Health Insurance (Section 3C General Medical Services – Telehealth and Telephone Attendances) Determination 2021</w:t>
      </w:r>
      <w:r>
        <w:t>, Compilation No. 1</w:t>
      </w:r>
      <w:r w:rsidR="0079338A">
        <w:t>8</w:t>
      </w:r>
      <w:r>
        <w:t xml:space="preserve">, Registration Date: </w:t>
      </w:r>
      <w:r w:rsidR="0079338A">
        <w:t>7</w:t>
      </w:r>
      <w:r>
        <w:t> February 2024 [</w:t>
      </w:r>
      <w:r w:rsidR="0079338A" w:rsidRPr="0079338A">
        <w:t>F2024C00131</w:t>
      </w:r>
      <w:r>
        <w:t>]</w:t>
      </w:r>
    </w:p>
    <w:p w:rsidR="0079338A" w:rsidRPr="00EB3729" w:rsidRDefault="0079338A" w:rsidP="0079338A">
      <w:pPr>
        <w:spacing w:after="240"/>
        <w:rPr>
          <w:b/>
          <w:sz w:val="24"/>
          <w:szCs w:val="24"/>
        </w:rPr>
      </w:pPr>
      <w:r w:rsidRPr="00EB3729">
        <w:rPr>
          <w:b/>
          <w:sz w:val="24"/>
          <w:szCs w:val="24"/>
        </w:rPr>
        <w:t>Subsection 5(1) and Schedule 3</w:t>
      </w:r>
    </w:p>
    <w:p w:rsidR="0079338A" w:rsidRPr="00EB3729" w:rsidRDefault="0079338A" w:rsidP="0079338A">
      <w:pPr>
        <w:spacing w:after="240"/>
        <w:rPr>
          <w:b/>
        </w:rPr>
      </w:pPr>
      <w:r w:rsidRPr="00EB3729">
        <w:rPr>
          <w:b/>
        </w:rPr>
        <w:t>Kind of editorial change</w:t>
      </w:r>
    </w:p>
    <w:p w:rsidR="0079338A" w:rsidRPr="00EB3729" w:rsidRDefault="0079338A" w:rsidP="0079338A">
      <w:pPr>
        <w:spacing w:after="240" w:line="240" w:lineRule="auto"/>
        <w:rPr>
          <w:rFonts w:eastAsia="Times New Roman" w:cs="Times New Roman"/>
          <w:color w:val="000000"/>
          <w:szCs w:val="22"/>
          <w:lang w:eastAsia="en-AU"/>
        </w:rPr>
      </w:pPr>
      <w:r w:rsidRPr="00EB3729">
        <w:rPr>
          <w:rFonts w:eastAsia="Times New Roman" w:cs="Times New Roman"/>
          <w:color w:val="000000"/>
          <w:szCs w:val="22"/>
          <w:lang w:eastAsia="en-AU"/>
        </w:rPr>
        <w:t>Give effect to the misdescribed amendments as intended</w:t>
      </w:r>
    </w:p>
    <w:p w:rsidR="0079338A" w:rsidRPr="00EB3729" w:rsidRDefault="0079338A" w:rsidP="0079338A">
      <w:pPr>
        <w:spacing w:after="240"/>
        <w:rPr>
          <w:b/>
        </w:rPr>
      </w:pPr>
      <w:r w:rsidRPr="00EB3729">
        <w:rPr>
          <w:b/>
        </w:rPr>
        <w:t>Details of editorial change</w:t>
      </w:r>
    </w:p>
    <w:p w:rsidR="0079338A" w:rsidRPr="00EB3729" w:rsidRDefault="0079338A" w:rsidP="0079338A">
      <w:pPr>
        <w:spacing w:after="240" w:line="240" w:lineRule="auto"/>
        <w:rPr>
          <w:rFonts w:eastAsia="Times New Roman" w:cs="Times New Roman"/>
          <w:color w:val="000000"/>
          <w:szCs w:val="22"/>
          <w:lang w:eastAsia="en-AU"/>
        </w:rPr>
      </w:pPr>
      <w:r w:rsidRPr="00EB3729">
        <w:rPr>
          <w:rFonts w:eastAsia="Times New Roman" w:cs="Times New Roman"/>
          <w:color w:val="000000"/>
          <w:szCs w:val="22"/>
          <w:lang w:eastAsia="en-AU"/>
        </w:rPr>
        <w:t xml:space="preserve">Schedule 3 of the </w:t>
      </w:r>
      <w:r w:rsidRPr="00EB3729">
        <w:rPr>
          <w:i/>
        </w:rPr>
        <w:t>Health Insurance (Section 3C General Medical Services – Telehealth and Telephone Attendances) Amendment (No. 1) Determination 2024</w:t>
      </w:r>
      <w:r w:rsidRPr="00EB3729">
        <w:rPr>
          <w:rFonts w:eastAsia="Times New Roman" w:cs="Times New Roman"/>
          <w:color w:val="000000"/>
          <w:szCs w:val="22"/>
          <w:lang w:eastAsia="en-AU"/>
        </w:rPr>
        <w:t xml:space="preserve"> provides as follows:</w:t>
      </w:r>
    </w:p>
    <w:p w:rsidR="0079338A" w:rsidRPr="00EB3729" w:rsidRDefault="0079338A" w:rsidP="0079338A">
      <w:pPr>
        <w:pStyle w:val="Specialas"/>
      </w:pPr>
      <w:r w:rsidRPr="00EB3729">
        <w:rPr>
          <w:rStyle w:val="CharAmSchNo"/>
        </w:rPr>
        <w:t>Schedule 3</w:t>
      </w:r>
      <w:r w:rsidRPr="00EB3729">
        <w:t>—Consequential amendments</w:t>
      </w:r>
    </w:p>
    <w:p w:rsidR="0079338A" w:rsidRPr="00EB3729" w:rsidRDefault="0079338A" w:rsidP="0079338A">
      <w:pPr>
        <w:pStyle w:val="ItemHead"/>
      </w:pPr>
      <w:r w:rsidRPr="00EB3729">
        <w:t xml:space="preserve">1  Subsection 5(1) (definition of </w:t>
      </w:r>
      <w:r w:rsidRPr="00EB3729">
        <w:rPr>
          <w:i/>
          <w:iCs/>
        </w:rPr>
        <w:t>Allied Health Determination</w:t>
      </w:r>
      <w:r w:rsidRPr="00EB3729">
        <w:t>)</w:t>
      </w:r>
    </w:p>
    <w:p w:rsidR="0079338A" w:rsidRPr="00EB3729" w:rsidRDefault="0079338A" w:rsidP="0079338A">
      <w:pPr>
        <w:pStyle w:val="Item"/>
      </w:pPr>
      <w:r w:rsidRPr="00EB3729">
        <w:t>Omit “</w:t>
      </w:r>
      <w:r w:rsidRPr="00EB3729">
        <w:rPr>
          <w:i/>
          <w:iCs/>
        </w:rPr>
        <w:t>Health Insurance (Allied Health Services) Determination 2014</w:t>
      </w:r>
      <w:r w:rsidRPr="00EB3729">
        <w:t>”, substitute “</w:t>
      </w:r>
      <w:r w:rsidRPr="00EB3729">
        <w:rPr>
          <w:i/>
          <w:iCs/>
        </w:rPr>
        <w:t>Health Insurance (Section 3C General Medical Services – Allied Health Services) Determination 2024</w:t>
      </w:r>
      <w:r w:rsidRPr="00EB3729">
        <w:t>”.</w:t>
      </w:r>
    </w:p>
    <w:p w:rsidR="0079338A" w:rsidRPr="00EB3729" w:rsidRDefault="0079338A" w:rsidP="006C2018">
      <w:pPr>
        <w:pStyle w:val="ItemHead"/>
        <w:keepNext/>
      </w:pPr>
      <w:r w:rsidRPr="00EB3729">
        <w:t>2  Schedule 3 (cell at item 93000, column 2)</w:t>
      </w:r>
    </w:p>
    <w:p w:rsidR="0079338A" w:rsidRPr="00EB3729" w:rsidRDefault="0079338A" w:rsidP="0079338A">
      <w:pPr>
        <w:pStyle w:val="Item"/>
      </w:pPr>
      <w:r w:rsidRPr="00EB3729">
        <w:t>Omit “Part 1 of the Schedule to”, substitute “Subgroup 1 of Group M3 of”.</w:t>
      </w:r>
    </w:p>
    <w:p w:rsidR="0079338A" w:rsidRPr="00EB3729" w:rsidRDefault="0079338A" w:rsidP="0079338A">
      <w:pPr>
        <w:pStyle w:val="ItemHead"/>
      </w:pPr>
      <w:r w:rsidRPr="00EB3729">
        <w:t>3  Schedule 3 (cell at item 93013, column 2)</w:t>
      </w:r>
    </w:p>
    <w:p w:rsidR="0079338A" w:rsidRPr="00DB323B" w:rsidRDefault="0079338A" w:rsidP="0079338A">
      <w:pPr>
        <w:pStyle w:val="Item"/>
      </w:pPr>
      <w:r w:rsidRPr="00EB3729">
        <w:t>Omit “Part 1 of the Schedule to”, substitute “Subgroup 1 of Group M3 of”.</w:t>
      </w:r>
    </w:p>
    <w:p w:rsidR="0079338A" w:rsidRPr="00EB3729" w:rsidRDefault="0079338A" w:rsidP="0079338A">
      <w:pPr>
        <w:spacing w:before="240" w:after="240" w:line="240" w:lineRule="auto"/>
        <w:rPr>
          <w:rFonts w:eastAsia="Times New Roman" w:cs="Times New Roman"/>
          <w:color w:val="000000"/>
          <w:szCs w:val="22"/>
          <w:lang w:eastAsia="en-AU"/>
        </w:rPr>
      </w:pPr>
      <w:r w:rsidRPr="00EB3729">
        <w:rPr>
          <w:rFonts w:eastAsia="Times New Roman" w:cs="Times New Roman"/>
          <w:color w:val="000000"/>
          <w:szCs w:val="22"/>
          <w:lang w:eastAsia="en-AU"/>
        </w:rPr>
        <w:t>Schedule 3 does not specify which instrument is to be amended.</w:t>
      </w:r>
    </w:p>
    <w:p w:rsidR="0079338A" w:rsidRPr="00EB3729" w:rsidRDefault="0079338A" w:rsidP="0079338A">
      <w:pPr>
        <w:spacing w:line="240" w:lineRule="auto"/>
        <w:rPr>
          <w:rFonts w:eastAsia="Times New Roman" w:cs="Times New Roman"/>
          <w:color w:val="000000"/>
          <w:szCs w:val="22"/>
          <w:lang w:eastAsia="en-AU"/>
        </w:rPr>
      </w:pPr>
      <w:r w:rsidRPr="00EB3729">
        <w:rPr>
          <w:rFonts w:eastAsia="Times New Roman" w:cs="Times New Roman"/>
          <w:color w:val="000000"/>
          <w:szCs w:val="22"/>
          <w:lang w:eastAsia="en-AU"/>
        </w:rPr>
        <w:t xml:space="preserve">This compilation was editorially changed by applying the amendments from Schedule 3 of the </w:t>
      </w:r>
      <w:r w:rsidRPr="00EB3729">
        <w:rPr>
          <w:i/>
        </w:rPr>
        <w:t>Health Insurance (Section 3C General Medical Services – Telehealth and Telephone Attendances) Amendment (No. 1) Determination 2024</w:t>
      </w:r>
      <w:r w:rsidRPr="00EB3729">
        <w:rPr>
          <w:rFonts w:eastAsia="Times New Roman" w:cs="Times New Roman"/>
          <w:color w:val="000000"/>
          <w:szCs w:val="22"/>
          <w:lang w:eastAsia="en-AU"/>
        </w:rPr>
        <w:t xml:space="preserve"> to the </w:t>
      </w:r>
      <w:r w:rsidRPr="00EB3729">
        <w:rPr>
          <w:i/>
          <w:szCs w:val="22"/>
        </w:rPr>
        <w:t>Health Insurance (Section 3C General Medical Services – Telehealth and Telephone Attendances) Determination 2021</w:t>
      </w:r>
      <w:r w:rsidRPr="00EB3729">
        <w:rPr>
          <w:rFonts w:eastAsia="Times New Roman" w:cs="Times New Roman"/>
          <w:color w:val="000000"/>
          <w:szCs w:val="22"/>
          <w:lang w:eastAsia="en-AU"/>
        </w:rPr>
        <w:t xml:space="preserve"> to give effect to the misdescribed amendments as intended.</w:t>
      </w:r>
    </w:p>
    <w:p w:rsidR="00545927" w:rsidRDefault="00545927" w:rsidP="00545927">
      <w:pPr>
        <w:pStyle w:val="Head2"/>
        <w:keepLines/>
        <w:spacing w:after="240"/>
      </w:pPr>
      <w:r w:rsidRPr="00746638">
        <w:t>List of Exempt Native Specimens Inst</w:t>
      </w:r>
      <w:bookmarkStart w:id="44" w:name="opcStartOfTOC"/>
      <w:bookmarkEnd w:id="44"/>
      <w:r w:rsidRPr="00746638">
        <w:t>rument 2001</w:t>
      </w:r>
      <w:r>
        <w:t>, Compilation No. 411, Registration Date: 6 February 2024 [</w:t>
      </w:r>
      <w:r w:rsidRPr="00545927">
        <w:t>F2024C00129</w:t>
      </w:r>
      <w:r>
        <w:t>]</w:t>
      </w:r>
    </w:p>
    <w:p w:rsidR="00AB186F" w:rsidRPr="004549F1" w:rsidRDefault="00AB186F" w:rsidP="00AB186F">
      <w:pPr>
        <w:spacing w:after="240"/>
        <w:rPr>
          <w:b/>
          <w:sz w:val="24"/>
          <w:szCs w:val="24"/>
        </w:rPr>
      </w:pPr>
      <w:r>
        <w:rPr>
          <w:b/>
          <w:sz w:val="24"/>
          <w:szCs w:val="24"/>
        </w:rPr>
        <w:t xml:space="preserve">Schedule 1, entry for </w:t>
      </w:r>
      <w:r w:rsidRPr="005E323C">
        <w:rPr>
          <w:b/>
          <w:sz w:val="24"/>
          <w:szCs w:val="24"/>
        </w:rPr>
        <w:t>Western Australian Pilbara Trap Managed Fishery</w:t>
      </w:r>
    </w:p>
    <w:p w:rsidR="00AB186F" w:rsidRPr="004549F1" w:rsidRDefault="00AB186F" w:rsidP="00AB186F">
      <w:pPr>
        <w:spacing w:after="240"/>
        <w:rPr>
          <w:b/>
        </w:rPr>
      </w:pPr>
      <w:r w:rsidRPr="004549F1">
        <w:rPr>
          <w:b/>
        </w:rPr>
        <w:t>Kind of editorial change</w:t>
      </w:r>
    </w:p>
    <w:p w:rsidR="00AB186F" w:rsidRPr="0018341F" w:rsidRDefault="00AB186F" w:rsidP="00AB186F">
      <w:pPr>
        <w:spacing w:after="240"/>
      </w:pPr>
      <w:r w:rsidRPr="00E2562F">
        <w:t>Give effect to the misdescribed amendment as intended</w:t>
      </w:r>
    </w:p>
    <w:p w:rsidR="00AB186F" w:rsidRPr="004549F1" w:rsidRDefault="00AB186F" w:rsidP="00AB186F">
      <w:pPr>
        <w:spacing w:after="240"/>
        <w:rPr>
          <w:b/>
        </w:rPr>
      </w:pPr>
      <w:r w:rsidRPr="004549F1">
        <w:rPr>
          <w:b/>
        </w:rPr>
        <w:t>Details of editorial change</w:t>
      </w:r>
    </w:p>
    <w:p w:rsidR="00AB186F" w:rsidRPr="00204662" w:rsidRDefault="00AB186F" w:rsidP="00AB186F">
      <w:pPr>
        <w:spacing w:after="240"/>
        <w:rPr>
          <w:szCs w:val="22"/>
        </w:rPr>
      </w:pPr>
      <w:r w:rsidRPr="00204662">
        <w:rPr>
          <w:szCs w:val="22"/>
        </w:rPr>
        <w:t xml:space="preserve">Schedule 1 of the </w:t>
      </w:r>
      <w:r w:rsidRPr="0000157D">
        <w:rPr>
          <w:i/>
          <w:szCs w:val="22"/>
        </w:rPr>
        <w:t>Amendment of List of Exempt Native Specimens – Western Australian Pilbara Trap Managed Fishery, January 2024</w:t>
      </w:r>
      <w:r w:rsidRPr="00204662">
        <w:rPr>
          <w:szCs w:val="22"/>
        </w:rPr>
        <w:t xml:space="preserve"> provides as follows:</w:t>
      </w:r>
    </w:p>
    <w:p w:rsidR="00AB186F" w:rsidRPr="00204662" w:rsidRDefault="00AB186F" w:rsidP="00AB186F">
      <w:pPr>
        <w:rPr>
          <w:szCs w:val="22"/>
        </w:rPr>
      </w:pPr>
      <w:r w:rsidRPr="00204662">
        <w:rPr>
          <w:szCs w:val="22"/>
        </w:rPr>
        <w:t>Under the heading Freshwater and Marine Animals delete from the list the following items and any associated notations:</w:t>
      </w:r>
    </w:p>
    <w:tbl>
      <w:tblPr>
        <w:tblStyle w:val="TableGrid"/>
        <w:tblW w:w="5000" w:type="pct"/>
        <w:tblLook w:val="04A0" w:firstRow="1" w:lastRow="0" w:firstColumn="1" w:lastColumn="0" w:noHBand="0" w:noVBand="1"/>
      </w:tblPr>
      <w:tblGrid>
        <w:gridCol w:w="3697"/>
        <w:gridCol w:w="2773"/>
        <w:gridCol w:w="2773"/>
      </w:tblGrid>
      <w:tr w:rsidR="00AB186F" w:rsidRPr="00CC4437" w:rsidTr="00D3141E">
        <w:trPr>
          <w:cantSplit/>
          <w:tblHeader/>
        </w:trPr>
        <w:tc>
          <w:tcPr>
            <w:tcW w:w="2000" w:type="pct"/>
          </w:tcPr>
          <w:p w:rsidR="00AB186F" w:rsidRPr="00204662" w:rsidRDefault="00AB186F" w:rsidP="00AB186F">
            <w:pPr>
              <w:keepNext/>
              <w:rPr>
                <w:b/>
                <w:szCs w:val="22"/>
              </w:rPr>
            </w:pPr>
            <w:r w:rsidRPr="00204662">
              <w:rPr>
                <w:b/>
                <w:szCs w:val="22"/>
              </w:rPr>
              <w:lastRenderedPageBreak/>
              <w:t>Taxon/Item</w:t>
            </w:r>
          </w:p>
        </w:tc>
        <w:tc>
          <w:tcPr>
            <w:tcW w:w="1500" w:type="pct"/>
          </w:tcPr>
          <w:p w:rsidR="00AB186F" w:rsidRPr="00204662" w:rsidRDefault="00AB186F" w:rsidP="00D3141E">
            <w:pPr>
              <w:rPr>
                <w:b/>
                <w:szCs w:val="22"/>
              </w:rPr>
            </w:pPr>
            <w:r w:rsidRPr="00204662">
              <w:rPr>
                <w:b/>
                <w:szCs w:val="22"/>
              </w:rPr>
              <w:t>Common Name</w:t>
            </w:r>
          </w:p>
        </w:tc>
        <w:tc>
          <w:tcPr>
            <w:tcW w:w="1500" w:type="pct"/>
          </w:tcPr>
          <w:p w:rsidR="00AB186F" w:rsidRPr="00204662" w:rsidRDefault="00AB186F" w:rsidP="00D3141E">
            <w:pPr>
              <w:rPr>
                <w:b/>
                <w:szCs w:val="22"/>
              </w:rPr>
            </w:pPr>
            <w:r w:rsidRPr="00204662">
              <w:rPr>
                <w:b/>
                <w:szCs w:val="22"/>
              </w:rPr>
              <w:t>Notation</w:t>
            </w:r>
          </w:p>
        </w:tc>
      </w:tr>
      <w:tr w:rsidR="00AB186F" w:rsidRPr="00CC4437" w:rsidTr="00D3141E">
        <w:tc>
          <w:tcPr>
            <w:tcW w:w="2000" w:type="pct"/>
          </w:tcPr>
          <w:p w:rsidR="00AB186F" w:rsidRPr="00204662" w:rsidRDefault="00AB186F" w:rsidP="00D3141E">
            <w:pPr>
              <w:shd w:val="clear" w:color="auto" w:fill="FFFFFF"/>
              <w:rPr>
                <w:rFonts w:eastAsia="Times New Roman"/>
                <w:color w:val="000000"/>
                <w:szCs w:val="22"/>
                <w:lang w:eastAsia="en-AU"/>
              </w:rPr>
            </w:pPr>
            <w:r w:rsidRPr="00204662">
              <w:rPr>
                <w:rFonts w:eastAsia="Times New Roman"/>
                <w:color w:val="000000"/>
                <w:szCs w:val="22"/>
                <w:lang w:eastAsia="en-AU"/>
              </w:rPr>
              <w:t xml:space="preserve">Specimens that are or are derived from fish or invertebrates taken in the Western Australian Pilbara Trap Managed Fishery, as defined in the management regime in force under the </w:t>
            </w:r>
            <w:r w:rsidRPr="00204662">
              <w:rPr>
                <w:rFonts w:eastAsia="Times New Roman"/>
                <w:i/>
                <w:iCs/>
                <w:color w:val="000000"/>
                <w:szCs w:val="22"/>
                <w:lang w:eastAsia="en-AU"/>
              </w:rPr>
              <w:t>Fish Resources Management Act 1994</w:t>
            </w:r>
            <w:r w:rsidRPr="00204662">
              <w:rPr>
                <w:rFonts w:eastAsia="Times New Roman"/>
                <w:color w:val="000000"/>
                <w:szCs w:val="22"/>
                <w:lang w:eastAsia="en-AU"/>
              </w:rPr>
              <w:t xml:space="preserve"> (FRMA, will be replaced by the Aquatic Resources Management Act once enacted); Fish Resources Management Regulations 1995 (FRMR); FRMA Section 43 Order — </w:t>
            </w:r>
            <w:r w:rsidRPr="00204662">
              <w:rPr>
                <w:rFonts w:eastAsia="Times New Roman"/>
                <w:i/>
                <w:iCs/>
                <w:color w:val="000000"/>
                <w:szCs w:val="22"/>
                <w:lang w:eastAsia="en-AU"/>
              </w:rPr>
              <w:t>Prohibition on Commercial Fishing for Demersal Scalefish (Pilbara Area) Order 1997</w:t>
            </w:r>
            <w:r w:rsidRPr="00204662">
              <w:rPr>
                <w:rFonts w:eastAsia="Times New Roman"/>
                <w:color w:val="000000"/>
                <w:szCs w:val="22"/>
                <w:lang w:eastAsia="en-AU"/>
              </w:rPr>
              <w:t xml:space="preserve"> and </w:t>
            </w:r>
            <w:r w:rsidRPr="00204662">
              <w:rPr>
                <w:rFonts w:eastAsia="Times New Roman"/>
                <w:i/>
                <w:iCs/>
                <w:color w:val="000000"/>
                <w:szCs w:val="22"/>
                <w:lang w:eastAsia="en-AU"/>
              </w:rPr>
              <w:t>Prohibition on Fishing by Line from Fishing Boats (Pilbara Waters) Order 2006</w:t>
            </w:r>
            <w:r w:rsidRPr="00204662">
              <w:rPr>
                <w:rFonts w:eastAsia="Times New Roman"/>
                <w:color w:val="000000"/>
                <w:szCs w:val="22"/>
                <w:lang w:eastAsia="en-AU"/>
              </w:rPr>
              <w:t xml:space="preserve"> , but not including:</w:t>
            </w:r>
          </w:p>
          <w:p w:rsidR="00AB186F" w:rsidRPr="00204662" w:rsidRDefault="00AB186F" w:rsidP="00D3141E">
            <w:pPr>
              <w:shd w:val="clear" w:color="auto" w:fill="FFFFFF"/>
              <w:rPr>
                <w:rFonts w:eastAsia="Times New Roman"/>
                <w:color w:val="000000"/>
                <w:szCs w:val="22"/>
                <w:lang w:eastAsia="en-AU"/>
              </w:rPr>
            </w:pPr>
          </w:p>
          <w:p w:rsidR="00AB186F" w:rsidRPr="00204662" w:rsidRDefault="00AB186F" w:rsidP="00D3141E">
            <w:pPr>
              <w:shd w:val="clear" w:color="auto" w:fill="FFFFFF"/>
              <w:rPr>
                <w:rFonts w:eastAsia="Times New Roman"/>
                <w:color w:val="000000"/>
                <w:szCs w:val="22"/>
                <w:lang w:eastAsia="en-AU"/>
              </w:rPr>
            </w:pPr>
            <w:r w:rsidRPr="00204662">
              <w:rPr>
                <w:rFonts w:eastAsia="Times New Roman"/>
                <w:color w:val="000000"/>
                <w:szCs w:val="22"/>
                <w:lang w:eastAsia="en-AU"/>
              </w:rPr>
              <w:t>(a)    specimens that belong to taxa listed under section 209 of the EPBC Act (Australia’s List of Migratory Species), or</w:t>
            </w:r>
          </w:p>
          <w:p w:rsidR="00AB186F" w:rsidRPr="00204662" w:rsidRDefault="00AB186F" w:rsidP="00D3141E">
            <w:pPr>
              <w:shd w:val="clear" w:color="auto" w:fill="FFFFFF"/>
              <w:rPr>
                <w:rFonts w:eastAsia="Times New Roman"/>
                <w:color w:val="000000"/>
                <w:szCs w:val="22"/>
                <w:lang w:eastAsia="en-AU"/>
              </w:rPr>
            </w:pPr>
          </w:p>
          <w:p w:rsidR="00AB186F" w:rsidRPr="00204662" w:rsidRDefault="00AB186F" w:rsidP="00D3141E">
            <w:pPr>
              <w:shd w:val="clear" w:color="auto" w:fill="FFFFFF"/>
              <w:rPr>
                <w:rFonts w:eastAsia="Times New Roman"/>
                <w:color w:val="000000"/>
                <w:szCs w:val="22"/>
                <w:lang w:eastAsia="en-AU"/>
              </w:rPr>
            </w:pPr>
            <w:r w:rsidRPr="00204662">
              <w:rPr>
                <w:rFonts w:eastAsia="Times New Roman"/>
                <w:color w:val="000000"/>
                <w:szCs w:val="22"/>
                <w:lang w:eastAsia="en-AU"/>
              </w:rPr>
              <w:t>(b)   specimens that belong to taxa listed under section 248 of the EPBC Act (Australia’s List of Marine Species), or</w:t>
            </w:r>
          </w:p>
          <w:p w:rsidR="00AB186F" w:rsidRPr="00204662" w:rsidRDefault="00AB186F" w:rsidP="00D3141E">
            <w:pPr>
              <w:shd w:val="clear" w:color="auto" w:fill="FFFFFF"/>
              <w:rPr>
                <w:rFonts w:eastAsia="Times New Roman"/>
                <w:color w:val="000000"/>
                <w:szCs w:val="22"/>
                <w:lang w:eastAsia="en-AU"/>
              </w:rPr>
            </w:pPr>
          </w:p>
          <w:p w:rsidR="00AB186F" w:rsidRPr="00204662" w:rsidRDefault="00AB186F" w:rsidP="00D3141E">
            <w:pPr>
              <w:shd w:val="clear" w:color="auto" w:fill="FFFFFF"/>
              <w:rPr>
                <w:rFonts w:eastAsia="Times New Roman"/>
                <w:color w:val="000000"/>
                <w:szCs w:val="22"/>
                <w:lang w:eastAsia="en-AU"/>
              </w:rPr>
            </w:pPr>
            <w:r w:rsidRPr="00204662">
              <w:rPr>
                <w:rFonts w:eastAsia="Times New Roman"/>
                <w:color w:val="000000"/>
                <w:szCs w:val="22"/>
                <w:lang w:eastAsia="en-AU"/>
              </w:rPr>
              <w:t>(c)    specimens that belong to eligible listed threatened species, as defined under section 303BC of the EPBC Act, or</w:t>
            </w:r>
          </w:p>
          <w:p w:rsidR="00AB186F" w:rsidRPr="00204662" w:rsidRDefault="00AB186F" w:rsidP="00D3141E">
            <w:pPr>
              <w:shd w:val="clear" w:color="auto" w:fill="FFFFFF"/>
              <w:rPr>
                <w:rFonts w:eastAsia="Times New Roman"/>
                <w:color w:val="000000"/>
                <w:szCs w:val="22"/>
                <w:lang w:eastAsia="en-AU"/>
              </w:rPr>
            </w:pPr>
          </w:p>
          <w:p w:rsidR="00AB186F" w:rsidRPr="00204662" w:rsidRDefault="00AB186F" w:rsidP="00D3141E">
            <w:pPr>
              <w:rPr>
                <w:bCs/>
                <w:szCs w:val="22"/>
              </w:rPr>
            </w:pPr>
            <w:r w:rsidRPr="00204662">
              <w:rPr>
                <w:rFonts w:eastAsia="Times New Roman"/>
                <w:color w:val="000000"/>
                <w:szCs w:val="22"/>
                <w:lang w:eastAsia="en-AU"/>
              </w:rPr>
              <w:t>(d)   specimens that belong to taxa listed under section 303CA of the EPBC Act (Australia’s CITES List).</w:t>
            </w:r>
          </w:p>
        </w:tc>
        <w:tc>
          <w:tcPr>
            <w:tcW w:w="1500" w:type="pct"/>
          </w:tcPr>
          <w:p w:rsidR="00AB186F" w:rsidRPr="00204662" w:rsidRDefault="00AB186F" w:rsidP="00D3141E">
            <w:pPr>
              <w:rPr>
                <w:szCs w:val="22"/>
              </w:rPr>
            </w:pPr>
            <w:r w:rsidRPr="00204662">
              <w:rPr>
                <w:rFonts w:eastAsia="Times New Roman"/>
                <w:color w:val="000000"/>
                <w:szCs w:val="22"/>
                <w:lang w:eastAsia="en-AU"/>
              </w:rPr>
              <w:t>Western Australian Pilbara Trap Managed Fishery</w:t>
            </w:r>
          </w:p>
        </w:tc>
        <w:tc>
          <w:tcPr>
            <w:tcW w:w="1500" w:type="pct"/>
          </w:tcPr>
          <w:p w:rsidR="00AB186F" w:rsidRPr="00204662" w:rsidRDefault="00AB186F" w:rsidP="00AB186F">
            <w:pPr>
              <w:pStyle w:val="ListParagraph"/>
              <w:numPr>
                <w:ilvl w:val="0"/>
                <w:numId w:val="46"/>
              </w:numPr>
              <w:shd w:val="clear" w:color="auto" w:fill="FFFFFF"/>
              <w:spacing w:line="253" w:lineRule="atLeast"/>
              <w:contextualSpacing w:val="0"/>
              <w:rPr>
                <w:rFonts w:eastAsia="Arial Unicode MS"/>
                <w:color w:val="000000"/>
                <w:szCs w:val="22"/>
                <w:lang w:eastAsia="en-AU"/>
              </w:rPr>
            </w:pPr>
            <w:r w:rsidRPr="00204662">
              <w:rPr>
                <w:rFonts w:eastAsia="Arial Unicode MS"/>
                <w:szCs w:val="22"/>
                <w:lang w:eastAsia="en-AU"/>
              </w:rPr>
              <w:t>the specimen, or the fish or invertebrate from which it is derived, was taken lawfully;</w:t>
            </w:r>
          </w:p>
          <w:p w:rsidR="00AB186F" w:rsidRPr="00204662" w:rsidRDefault="00AB186F" w:rsidP="00AB186F">
            <w:pPr>
              <w:pStyle w:val="ListParagraph"/>
              <w:numPr>
                <w:ilvl w:val="0"/>
                <w:numId w:val="46"/>
              </w:numPr>
              <w:shd w:val="clear" w:color="auto" w:fill="FFFFFF"/>
              <w:spacing w:line="253" w:lineRule="atLeast"/>
              <w:contextualSpacing w:val="0"/>
              <w:rPr>
                <w:rFonts w:eastAsia="Times New Roman"/>
                <w:color w:val="000000"/>
                <w:szCs w:val="22"/>
                <w:lang w:eastAsia="en-AU"/>
              </w:rPr>
            </w:pPr>
            <w:r w:rsidRPr="00204662">
              <w:rPr>
                <w:rFonts w:eastAsia="Arial Unicode MS"/>
                <w:szCs w:val="22"/>
                <w:lang w:eastAsia="en-AU"/>
              </w:rPr>
              <w:t>the specimens are covered by the declaration of an approved wildlife trade operation under section 303FN of the EPBC Act in relation to the fishery.</w:t>
            </w:r>
          </w:p>
        </w:tc>
      </w:tr>
    </w:tbl>
    <w:p w:rsidR="00AB186F" w:rsidRPr="0000157D" w:rsidRDefault="00AB186F" w:rsidP="00AB186F">
      <w:pPr>
        <w:spacing w:before="240" w:after="240"/>
        <w:rPr>
          <w:szCs w:val="22"/>
        </w:rPr>
      </w:pPr>
      <w:r w:rsidRPr="0000157D">
        <w:rPr>
          <w:szCs w:val="22"/>
        </w:rPr>
        <w:t xml:space="preserve">The text contained in the </w:t>
      </w:r>
      <w:r>
        <w:rPr>
          <w:szCs w:val="22"/>
        </w:rPr>
        <w:t>Notation</w:t>
      </w:r>
      <w:r w:rsidRPr="0000157D">
        <w:rPr>
          <w:szCs w:val="22"/>
        </w:rPr>
        <w:t xml:space="preserve"> column of the Schedule 1 entry for the </w:t>
      </w:r>
      <w:r w:rsidRPr="0000157D">
        <w:rPr>
          <w:rFonts w:eastAsia="Times New Roman"/>
          <w:color w:val="000000"/>
          <w:szCs w:val="22"/>
          <w:lang w:eastAsia="en-AU"/>
        </w:rPr>
        <w:t>Western Australian Pilbara Trap Managed Fishery</w:t>
      </w:r>
      <w:r w:rsidRPr="0000157D">
        <w:rPr>
          <w:szCs w:val="22"/>
        </w:rPr>
        <w:t xml:space="preserve"> does not exactly match the text to be omitted as outlined in Schedule 1 of the </w:t>
      </w:r>
      <w:r w:rsidRPr="0000157D">
        <w:rPr>
          <w:i/>
          <w:szCs w:val="22"/>
        </w:rPr>
        <w:t>Amendment of List of Exempt Native Specimens – Western Australian Pilbara Trap Managed Fishery, January 2024</w:t>
      </w:r>
      <w:r w:rsidRPr="0000157D">
        <w:rPr>
          <w:szCs w:val="22"/>
        </w:rPr>
        <w:t>.</w:t>
      </w:r>
    </w:p>
    <w:p w:rsidR="00AB186F" w:rsidRPr="0000157D" w:rsidRDefault="00AB186F" w:rsidP="00AB186F">
      <w:pPr>
        <w:rPr>
          <w:szCs w:val="22"/>
        </w:rPr>
      </w:pPr>
      <w:r w:rsidRPr="0000157D">
        <w:rPr>
          <w:szCs w:val="22"/>
        </w:rPr>
        <w:t xml:space="preserve">This compilation was editorially changed to omit the Schedule 1 entry for the </w:t>
      </w:r>
      <w:r w:rsidRPr="0000157D">
        <w:rPr>
          <w:rFonts w:eastAsia="Times New Roman"/>
          <w:color w:val="000000"/>
          <w:szCs w:val="22"/>
          <w:lang w:eastAsia="en-AU"/>
        </w:rPr>
        <w:t>Western Australian Pilbara Trap Managed Fishery</w:t>
      </w:r>
      <w:r w:rsidRPr="0000157D">
        <w:rPr>
          <w:szCs w:val="22"/>
        </w:rPr>
        <w:t xml:space="preserve"> and give effect to the misdescribed amendment as intended.</w:t>
      </w:r>
    </w:p>
    <w:p w:rsidR="009763AD" w:rsidRDefault="009763AD" w:rsidP="001A5DA5">
      <w:pPr>
        <w:pStyle w:val="Head2"/>
        <w:keepLines/>
        <w:spacing w:after="240"/>
      </w:pPr>
      <w:r w:rsidRPr="00B16BE4">
        <w:lastRenderedPageBreak/>
        <w:t>Basin Plan 2012</w:t>
      </w:r>
      <w:r>
        <w:t xml:space="preserve">, Compilation No. 9, Registration Date: </w:t>
      </w:r>
      <w:r w:rsidR="00CB5911">
        <w:t>2</w:t>
      </w:r>
      <w:r>
        <w:t> </w:t>
      </w:r>
      <w:r w:rsidR="00CB5911">
        <w:t>February</w:t>
      </w:r>
      <w:r>
        <w:t xml:space="preserve"> 2024 [</w:t>
      </w:r>
      <w:r w:rsidR="00CB5911" w:rsidRPr="00CB5911">
        <w:t>F2024C00124</w:t>
      </w:r>
      <w:r>
        <w:t>]</w:t>
      </w:r>
    </w:p>
    <w:p w:rsidR="00CB5911" w:rsidRPr="00B16BE4" w:rsidRDefault="00CB5911" w:rsidP="001A5DA5">
      <w:pPr>
        <w:keepNext/>
        <w:keepLines/>
        <w:spacing w:after="240"/>
        <w:rPr>
          <w:b/>
          <w:sz w:val="24"/>
          <w:szCs w:val="24"/>
        </w:rPr>
      </w:pPr>
      <w:r w:rsidRPr="00B16BE4">
        <w:rPr>
          <w:b/>
          <w:sz w:val="24"/>
          <w:szCs w:val="24"/>
        </w:rPr>
        <w:t>Paragraph 7.01(2)(a)</w:t>
      </w:r>
    </w:p>
    <w:p w:rsidR="00CB5911" w:rsidRPr="00B16BE4" w:rsidRDefault="00CB5911" w:rsidP="001A5DA5">
      <w:pPr>
        <w:keepNext/>
        <w:keepLines/>
        <w:spacing w:after="240"/>
        <w:rPr>
          <w:b/>
        </w:rPr>
      </w:pPr>
      <w:r w:rsidRPr="00B16BE4">
        <w:rPr>
          <w:b/>
        </w:rPr>
        <w:t>Kind of editorial change</w:t>
      </w:r>
    </w:p>
    <w:p w:rsidR="00CB5911" w:rsidRPr="00B16BE4" w:rsidRDefault="00CB5911" w:rsidP="00CB5911">
      <w:pPr>
        <w:spacing w:after="240"/>
      </w:pPr>
      <w:r w:rsidRPr="00B16BE4">
        <w:t>Change to punctuation</w:t>
      </w:r>
    </w:p>
    <w:p w:rsidR="00CB5911" w:rsidRPr="00B16BE4" w:rsidRDefault="00CB5911" w:rsidP="00CB5911">
      <w:pPr>
        <w:spacing w:after="240"/>
        <w:rPr>
          <w:b/>
        </w:rPr>
      </w:pPr>
      <w:r w:rsidRPr="00B16BE4">
        <w:rPr>
          <w:b/>
        </w:rPr>
        <w:t>Details of editorial change</w:t>
      </w:r>
    </w:p>
    <w:p w:rsidR="00CB5911" w:rsidRPr="00B16BE4" w:rsidRDefault="00CB5911" w:rsidP="00CB5911">
      <w:pPr>
        <w:spacing w:after="240"/>
      </w:pPr>
      <w:r w:rsidRPr="00B16BE4">
        <w:t xml:space="preserve">Schedule 2 item 13 of the </w:t>
      </w:r>
      <w:r w:rsidRPr="00B16BE4">
        <w:rPr>
          <w:i/>
        </w:rPr>
        <w:t>Water Amendment (Restoring Our Rivers) Act 2023</w:t>
      </w:r>
      <w:r w:rsidRPr="00B16BE4">
        <w:t xml:space="preserve"> provides as follows:</w:t>
      </w:r>
    </w:p>
    <w:p w:rsidR="00CB5911" w:rsidRPr="00B16BE4" w:rsidRDefault="00CB5911" w:rsidP="00CB5911">
      <w:pPr>
        <w:pStyle w:val="ItemHead"/>
      </w:pPr>
      <w:bookmarkStart w:id="45" w:name="_Hlk157675285"/>
      <w:r w:rsidRPr="00B16BE4">
        <w:t>13  After paragraph 7.01(2)(a)</w:t>
      </w:r>
    </w:p>
    <w:p w:rsidR="00CB5911" w:rsidRPr="00B16BE4" w:rsidRDefault="00CB5911" w:rsidP="00CB5911">
      <w:pPr>
        <w:pStyle w:val="Item"/>
      </w:pPr>
      <w:r w:rsidRPr="00B16BE4">
        <w:t>Insert:</w:t>
      </w:r>
    </w:p>
    <w:p w:rsidR="00CB5911" w:rsidRPr="00B16BE4" w:rsidRDefault="00CB5911" w:rsidP="00CB5911">
      <w:pPr>
        <w:pStyle w:val="paragraph"/>
      </w:pPr>
      <w:r w:rsidRPr="00B16BE4">
        <w:tab/>
        <w:t>; (b)</w:t>
      </w:r>
      <w:r w:rsidRPr="00B16BE4">
        <w:tab/>
        <w:t>new acquisitions of held environmental water that was previously used for consumptive purposes (Part 2); or</w:t>
      </w:r>
    </w:p>
    <w:bookmarkEnd w:id="45"/>
    <w:p w:rsidR="00CB5911" w:rsidRPr="00B16BE4" w:rsidRDefault="00CB5911" w:rsidP="00CB5911">
      <w:pPr>
        <w:spacing w:before="240" w:after="240"/>
      </w:pPr>
      <w:r w:rsidRPr="00B16BE4">
        <w:t>This amendment results in a redundant semicolon at the end of paragraph 7.01(2)(a).</w:t>
      </w:r>
    </w:p>
    <w:p w:rsidR="00CB5911" w:rsidRPr="00B16BE4" w:rsidRDefault="00CB5911" w:rsidP="00CB5911">
      <w:pPr>
        <w:spacing w:after="240"/>
      </w:pPr>
      <w:r w:rsidRPr="00B16BE4">
        <w:t>This compilation was editorially changed to omit the redundant semicolon at the end of paragraph 7.01(2)(a) to correct the punctuation.</w:t>
      </w:r>
    </w:p>
    <w:p w:rsidR="00CB5911" w:rsidRPr="00B16BE4" w:rsidRDefault="00CB5911" w:rsidP="006C2018">
      <w:pPr>
        <w:keepNext/>
        <w:spacing w:after="240"/>
        <w:rPr>
          <w:b/>
          <w:sz w:val="24"/>
          <w:szCs w:val="24"/>
        </w:rPr>
      </w:pPr>
      <w:r w:rsidRPr="00B16BE4">
        <w:rPr>
          <w:b/>
          <w:sz w:val="24"/>
          <w:szCs w:val="24"/>
        </w:rPr>
        <w:t>Subsection 7.15(1) (note)</w:t>
      </w:r>
    </w:p>
    <w:p w:rsidR="00CB5911" w:rsidRPr="00B16BE4" w:rsidRDefault="00CB5911" w:rsidP="006C2018">
      <w:pPr>
        <w:keepNext/>
        <w:spacing w:after="240"/>
        <w:rPr>
          <w:b/>
        </w:rPr>
      </w:pPr>
      <w:r w:rsidRPr="00B16BE4">
        <w:rPr>
          <w:b/>
        </w:rPr>
        <w:t>Kind of editorial change</w:t>
      </w:r>
    </w:p>
    <w:p w:rsidR="00CB5911" w:rsidRPr="00B16BE4" w:rsidRDefault="00CB5911" w:rsidP="006C2018">
      <w:pPr>
        <w:keepNext/>
        <w:spacing w:after="240"/>
      </w:pPr>
      <w:r w:rsidRPr="00B16BE4">
        <w:t>Changes to punctuation</w:t>
      </w:r>
    </w:p>
    <w:p w:rsidR="00CB5911" w:rsidRPr="00B16BE4" w:rsidRDefault="00CB5911" w:rsidP="00CB5911">
      <w:pPr>
        <w:spacing w:after="240"/>
        <w:rPr>
          <w:b/>
        </w:rPr>
      </w:pPr>
      <w:r w:rsidRPr="00B16BE4">
        <w:rPr>
          <w:b/>
        </w:rPr>
        <w:t>Details of editorial change</w:t>
      </w:r>
    </w:p>
    <w:p w:rsidR="00CB5911" w:rsidRPr="00B16BE4" w:rsidRDefault="00CB5911" w:rsidP="00CB5911">
      <w:pPr>
        <w:spacing w:after="240"/>
      </w:pPr>
      <w:r w:rsidRPr="00B16BE4">
        <w:t xml:space="preserve">Schedule 2 item 36 of the </w:t>
      </w:r>
      <w:r w:rsidRPr="00B16BE4">
        <w:rPr>
          <w:i/>
        </w:rPr>
        <w:t>Water Amendment (Restoring Our Rivers) Act 2023</w:t>
      </w:r>
      <w:r w:rsidRPr="00B16BE4">
        <w:t xml:space="preserve"> provides as follows:</w:t>
      </w:r>
    </w:p>
    <w:p w:rsidR="00CB5911" w:rsidRPr="00B16BE4" w:rsidRDefault="00CB5911" w:rsidP="00CB5911">
      <w:pPr>
        <w:pStyle w:val="ItemHead"/>
      </w:pPr>
      <w:r w:rsidRPr="00B16BE4">
        <w:t>36  Subsection 7.15(1) (note)</w:t>
      </w:r>
    </w:p>
    <w:p w:rsidR="00CB5911" w:rsidRPr="00B16BE4" w:rsidRDefault="00CB5911" w:rsidP="00CB5911">
      <w:pPr>
        <w:pStyle w:val="Item"/>
      </w:pPr>
      <w:r w:rsidRPr="00B16BE4">
        <w:t>After “section 7.12”, insert “</w:t>
      </w:r>
      <w:bookmarkStart w:id="46" w:name="_Hlk157506377"/>
      <w:r w:rsidRPr="00B16BE4">
        <w:t>The additional supply measures were not included in this provision at the time adjustments were proposed under section 7.10.</w:t>
      </w:r>
      <w:bookmarkEnd w:id="46"/>
      <w:r w:rsidRPr="00B16BE4">
        <w:t>”.</w:t>
      </w:r>
    </w:p>
    <w:p w:rsidR="00CB5911" w:rsidRPr="00B16BE4" w:rsidRDefault="00CB5911" w:rsidP="00CB5911">
      <w:pPr>
        <w:spacing w:before="240"/>
      </w:pPr>
      <w:r w:rsidRPr="00B16BE4">
        <w:t>This amendment results in no full stop after “</w:t>
      </w:r>
      <w:r w:rsidRPr="00B16BE4">
        <w:rPr>
          <w:rFonts w:cs="Times New Roman"/>
          <w:color w:val="000000"/>
        </w:rPr>
        <w:t>section 7.12” in the note to subsection 7.15(1) and two full stops at the end of the note to subsection 7.15(1).</w:t>
      </w:r>
    </w:p>
    <w:p w:rsidR="00CB5911" w:rsidRPr="00B16BE4" w:rsidRDefault="00CB5911" w:rsidP="00CB5911">
      <w:pPr>
        <w:spacing w:before="240" w:after="240"/>
      </w:pPr>
      <w:r w:rsidRPr="00B16BE4">
        <w:t>This compilation was editorially changed to insert a full stop after “</w:t>
      </w:r>
      <w:r w:rsidRPr="00B16BE4">
        <w:rPr>
          <w:rFonts w:cs="Times New Roman"/>
          <w:color w:val="000000"/>
        </w:rPr>
        <w:t>section 7.12” in the note to subsection 7.15(1) and to</w:t>
      </w:r>
      <w:r w:rsidRPr="00B16BE4">
        <w:t xml:space="preserve"> omit the redundant full stop at the end of the note </w:t>
      </w:r>
      <w:r w:rsidRPr="00B16BE4">
        <w:rPr>
          <w:rFonts w:cs="Times New Roman"/>
          <w:color w:val="000000"/>
        </w:rPr>
        <w:t>to subsection 7.15(1)</w:t>
      </w:r>
      <w:r w:rsidRPr="00B16BE4">
        <w:t xml:space="preserve"> to correct the punctuation.</w:t>
      </w:r>
    </w:p>
    <w:p w:rsidR="00CB5911" w:rsidRPr="00B16BE4" w:rsidRDefault="00CB5911" w:rsidP="00EE5570">
      <w:pPr>
        <w:keepNext/>
        <w:spacing w:after="240"/>
        <w:rPr>
          <w:b/>
          <w:sz w:val="24"/>
          <w:szCs w:val="24"/>
        </w:rPr>
      </w:pPr>
      <w:r w:rsidRPr="00B16BE4">
        <w:rPr>
          <w:b/>
          <w:sz w:val="24"/>
          <w:szCs w:val="24"/>
        </w:rPr>
        <w:t xml:space="preserve">Subsection 7.15(2) (paragraph (b) of the definition of </w:t>
      </w:r>
      <w:r w:rsidRPr="00B16BE4">
        <w:rPr>
          <w:b/>
          <w:i/>
          <w:sz w:val="24"/>
          <w:szCs w:val="24"/>
        </w:rPr>
        <w:t>applicable method</w:t>
      </w:r>
      <w:r w:rsidRPr="00B16BE4">
        <w:rPr>
          <w:b/>
          <w:sz w:val="24"/>
          <w:szCs w:val="24"/>
        </w:rPr>
        <w:t>)</w:t>
      </w:r>
    </w:p>
    <w:p w:rsidR="00CB5911" w:rsidRPr="00B16BE4" w:rsidRDefault="00CB5911" w:rsidP="00CB5911">
      <w:pPr>
        <w:spacing w:after="240"/>
        <w:rPr>
          <w:b/>
        </w:rPr>
      </w:pPr>
      <w:r w:rsidRPr="00B16BE4">
        <w:rPr>
          <w:b/>
        </w:rPr>
        <w:t>Kind of editorial change</w:t>
      </w:r>
    </w:p>
    <w:p w:rsidR="00CB5911" w:rsidRPr="00B16BE4" w:rsidRDefault="00CB5911" w:rsidP="00CB5911">
      <w:pPr>
        <w:spacing w:after="240"/>
      </w:pPr>
      <w:r w:rsidRPr="00B16BE4">
        <w:rPr>
          <w:rFonts w:cs="Times New Roman"/>
          <w:szCs w:val="22"/>
        </w:rPr>
        <w:t>Give effect to the misdescribed amendment as intended</w:t>
      </w:r>
    </w:p>
    <w:p w:rsidR="00CB5911" w:rsidRPr="00B16BE4" w:rsidRDefault="00CB5911" w:rsidP="00CB5911">
      <w:pPr>
        <w:spacing w:after="240"/>
        <w:rPr>
          <w:b/>
        </w:rPr>
      </w:pPr>
      <w:r w:rsidRPr="00B16BE4">
        <w:rPr>
          <w:b/>
        </w:rPr>
        <w:t>Details of editorial change</w:t>
      </w:r>
    </w:p>
    <w:p w:rsidR="00CB5911" w:rsidRPr="00B16BE4" w:rsidRDefault="00CB5911" w:rsidP="00CB5911">
      <w:pPr>
        <w:spacing w:after="240"/>
      </w:pPr>
      <w:r w:rsidRPr="00B16BE4">
        <w:t xml:space="preserve">Schedule 2 item 37 of the </w:t>
      </w:r>
      <w:r w:rsidRPr="00B16BE4">
        <w:rPr>
          <w:i/>
        </w:rPr>
        <w:t>Water Amendment (Restoring Our Rivers) Act 2023</w:t>
      </w:r>
      <w:r w:rsidRPr="00B16BE4">
        <w:t xml:space="preserve"> provides as follows:</w:t>
      </w:r>
    </w:p>
    <w:p w:rsidR="00CB5911" w:rsidRPr="00B16BE4" w:rsidRDefault="00CB5911" w:rsidP="00CB5911">
      <w:pPr>
        <w:pStyle w:val="ItemHead"/>
      </w:pPr>
      <w:bookmarkStart w:id="47" w:name="_Hlk157678159"/>
      <w:r w:rsidRPr="00B16BE4">
        <w:lastRenderedPageBreak/>
        <w:t>37  Paragraph 7.15(2)(b)</w:t>
      </w:r>
    </w:p>
    <w:p w:rsidR="00CB5911" w:rsidRPr="00B16BE4" w:rsidRDefault="00CB5911" w:rsidP="00CB5911">
      <w:pPr>
        <w:pStyle w:val="Item"/>
      </w:pPr>
      <w:r w:rsidRPr="00B16BE4">
        <w:t>Repeal the paragraph, substitute:</w:t>
      </w:r>
    </w:p>
    <w:p w:rsidR="00CB5911" w:rsidRPr="00B16BE4" w:rsidRDefault="00CB5911" w:rsidP="00CB5911">
      <w:pPr>
        <w:pStyle w:val="paragraph"/>
      </w:pPr>
      <w:r w:rsidRPr="00B16BE4">
        <w:tab/>
        <w:t>(b)</w:t>
      </w:r>
      <w:r w:rsidRPr="00B16BE4">
        <w:tab/>
        <w:t>if the Authority, having consulted the Basin Officials Committee, decides that another method is preferable—that method.</w:t>
      </w:r>
    </w:p>
    <w:bookmarkEnd w:id="47"/>
    <w:p w:rsidR="00CB5911" w:rsidRPr="00B16BE4" w:rsidRDefault="00CB5911" w:rsidP="00CB5911">
      <w:pPr>
        <w:spacing w:before="240" w:after="240"/>
      </w:pPr>
      <w:r w:rsidRPr="00B16BE4">
        <w:t>Paragraph 7.15(2)(b) appears three times in subsection 7.15(2).</w:t>
      </w:r>
    </w:p>
    <w:p w:rsidR="00CB5911" w:rsidRPr="00B16BE4" w:rsidRDefault="00CB5911" w:rsidP="00CB5911">
      <w:r w:rsidRPr="00B16BE4">
        <w:t xml:space="preserve">This compilation was editorially changed to repeal and substitute paragraph (b) of the definition of </w:t>
      </w:r>
      <w:r w:rsidRPr="00B16BE4">
        <w:rPr>
          <w:rFonts w:cs="Times New Roman"/>
          <w:b/>
          <w:i/>
        </w:rPr>
        <w:t>applicable method</w:t>
      </w:r>
      <w:r w:rsidRPr="00B16BE4">
        <w:rPr>
          <w:rFonts w:cs="Times New Roman"/>
        </w:rPr>
        <w:t xml:space="preserve"> </w:t>
      </w:r>
      <w:r w:rsidRPr="00B16BE4">
        <w:t>in subsection 7.15(2) to give effect to the misdescribed amendment as intended.</w:t>
      </w:r>
    </w:p>
    <w:p w:rsidR="00744644" w:rsidRDefault="00744644" w:rsidP="006C2018">
      <w:pPr>
        <w:pStyle w:val="Head2"/>
        <w:keepLines/>
        <w:spacing w:after="240"/>
      </w:pPr>
      <w:r w:rsidRPr="00DB7959">
        <w:t>Telecommunications (Designated Service Area and Statutory Infrastructure Provider) Declaration (No.</w:t>
      </w:r>
      <w:r w:rsidR="00CA710C">
        <w:t> </w:t>
      </w:r>
      <w:r w:rsidRPr="00DB7959">
        <w:t>1) 2020</w:t>
      </w:r>
      <w:r>
        <w:t>, Compilation No. 8, Registration Date: 30 January 2024 [</w:t>
      </w:r>
      <w:r w:rsidRPr="00744644">
        <w:t>F2024C00113</w:t>
      </w:r>
      <w:r>
        <w:t>]</w:t>
      </w:r>
    </w:p>
    <w:p w:rsidR="00CA710C" w:rsidRPr="00DB7959" w:rsidRDefault="00CA710C" w:rsidP="006C2018">
      <w:pPr>
        <w:keepNext/>
        <w:keepLines/>
        <w:spacing w:after="240"/>
        <w:rPr>
          <w:b/>
          <w:sz w:val="24"/>
          <w:szCs w:val="24"/>
        </w:rPr>
      </w:pPr>
      <w:r w:rsidRPr="00DB7959">
        <w:rPr>
          <w:b/>
          <w:sz w:val="24"/>
          <w:szCs w:val="24"/>
        </w:rPr>
        <w:t>Schedule 6A</w:t>
      </w:r>
    </w:p>
    <w:p w:rsidR="00CA710C" w:rsidRPr="00DB7959" w:rsidRDefault="00CA710C" w:rsidP="006C2018">
      <w:pPr>
        <w:keepNext/>
        <w:keepLines/>
        <w:spacing w:after="240"/>
        <w:rPr>
          <w:b/>
        </w:rPr>
      </w:pPr>
      <w:r w:rsidRPr="00DB7959">
        <w:rPr>
          <w:b/>
        </w:rPr>
        <w:t>Kind of editorial change</w:t>
      </w:r>
    </w:p>
    <w:p w:rsidR="00CA710C" w:rsidRPr="00DB7959" w:rsidRDefault="00CA710C" w:rsidP="006C2018">
      <w:pPr>
        <w:keepNext/>
        <w:keepLines/>
        <w:spacing w:after="240"/>
      </w:pPr>
      <w:r w:rsidRPr="00DB7959">
        <w:t>Correct an error arising out of an amendment of an instrument</w:t>
      </w:r>
    </w:p>
    <w:p w:rsidR="00CA710C" w:rsidRPr="00DB7959" w:rsidRDefault="00CA710C" w:rsidP="006C2018">
      <w:pPr>
        <w:keepNext/>
        <w:keepLines/>
        <w:spacing w:after="240"/>
        <w:rPr>
          <w:b/>
        </w:rPr>
      </w:pPr>
      <w:r w:rsidRPr="00DB7959">
        <w:rPr>
          <w:b/>
        </w:rPr>
        <w:t>Details of editorial change</w:t>
      </w:r>
    </w:p>
    <w:p w:rsidR="00CA710C" w:rsidRPr="00DB7959" w:rsidRDefault="00CA710C" w:rsidP="00CA710C">
      <w:pPr>
        <w:spacing w:after="240"/>
      </w:pPr>
      <w:r w:rsidRPr="00DB7959">
        <w:t xml:space="preserve">Schedule 1 item 3 of the </w:t>
      </w:r>
      <w:r w:rsidRPr="00DB7959">
        <w:rPr>
          <w:i/>
        </w:rPr>
        <w:t>Telecommunications (Designated Service Area and Statutory Infrastructure Provider) Amendment Declaration (No. 1) 2023</w:t>
      </w:r>
      <w:r w:rsidRPr="00DB7959">
        <w:t xml:space="preserve"> provides as follows:</w:t>
      </w:r>
    </w:p>
    <w:p w:rsidR="00CA710C" w:rsidRPr="00DB7959" w:rsidRDefault="00CA710C" w:rsidP="00CA710C">
      <w:pPr>
        <w:pStyle w:val="ItemHead"/>
      </w:pPr>
      <w:r w:rsidRPr="00DB7959">
        <w:t>3  After Schedule 6</w:t>
      </w:r>
    </w:p>
    <w:p w:rsidR="00CA710C" w:rsidRPr="00DB7959" w:rsidRDefault="00CA710C" w:rsidP="00CA710C">
      <w:pPr>
        <w:pStyle w:val="Item"/>
      </w:pPr>
      <w:r w:rsidRPr="00DB7959">
        <w:t>Insert:</w:t>
      </w:r>
    </w:p>
    <w:p w:rsidR="00CA710C" w:rsidRPr="00DB7959" w:rsidRDefault="00CA710C" w:rsidP="00CA710C">
      <w:pPr>
        <w:pStyle w:val="Item"/>
        <w:ind w:left="0"/>
      </w:pPr>
    </w:p>
    <w:p w:rsidR="00CA710C" w:rsidRPr="00DB7959" w:rsidRDefault="00CA710C" w:rsidP="00CA710C">
      <w:pPr>
        <w:shd w:val="clear" w:color="auto" w:fill="FFFFFF"/>
        <w:spacing w:before="80" w:line="240" w:lineRule="auto"/>
        <w:rPr>
          <w:rFonts w:eastAsia="Times New Roman" w:cs="Times New Roman"/>
          <w:color w:val="000000"/>
          <w:szCs w:val="22"/>
          <w:lang w:eastAsia="en-AU"/>
        </w:rPr>
      </w:pPr>
      <w:r w:rsidRPr="00DB7959">
        <w:rPr>
          <w:rFonts w:ascii="Arial" w:eastAsia="Times New Roman" w:hAnsi="Arial" w:cs="Arial"/>
          <w:b/>
          <w:bCs/>
          <w:color w:val="000000"/>
          <w:sz w:val="32"/>
          <w:szCs w:val="32"/>
          <w:lang w:eastAsia="en-AU"/>
        </w:rPr>
        <w:t>Schedule 6A— Gtelecom Pty Ltd</w:t>
      </w:r>
    </w:p>
    <w:p w:rsidR="00CA710C" w:rsidRPr="00DB7959" w:rsidRDefault="00CA710C" w:rsidP="00CA710C">
      <w:pPr>
        <w:shd w:val="clear" w:color="auto" w:fill="FFFFFF"/>
        <w:spacing w:before="60" w:line="240" w:lineRule="auto"/>
        <w:rPr>
          <w:rFonts w:eastAsia="Times New Roman" w:cs="Times New Roman"/>
          <w:color w:val="000000"/>
          <w:szCs w:val="22"/>
          <w:lang w:eastAsia="en-AU"/>
        </w:rPr>
      </w:pPr>
      <w:r w:rsidRPr="00DB7959">
        <w:rPr>
          <w:rFonts w:eastAsia="Times New Roman" w:cs="Times New Roman"/>
          <w:b/>
          <w:bCs/>
          <w:color w:val="000000"/>
          <w:sz w:val="20"/>
          <w:lang w:eastAsia="en-AU"/>
        </w:rPr>
        <w:t>Specified areas for which Gtelecom Pty Ltd is the specified carrier and to which this declaration applies</w:t>
      </w:r>
    </w:p>
    <w:p w:rsidR="00CA710C" w:rsidRPr="00DB7959" w:rsidRDefault="00CA710C" w:rsidP="00CA710C">
      <w:pPr>
        <w:pStyle w:val="Item"/>
      </w:pPr>
      <w:r w:rsidRPr="00DB7959">
        <w:t>Insert:</w:t>
      </w:r>
    </w:p>
    <w:tbl>
      <w:tblPr>
        <w:tblW w:w="8336" w:type="dxa"/>
        <w:shd w:val="clear" w:color="auto" w:fill="FFFFFF"/>
        <w:tblLayout w:type="fixed"/>
        <w:tblCellMar>
          <w:left w:w="0" w:type="dxa"/>
          <w:right w:w="0" w:type="dxa"/>
        </w:tblCellMar>
        <w:tblLook w:val="04A0" w:firstRow="1" w:lastRow="0" w:firstColumn="1" w:lastColumn="0" w:noHBand="0" w:noVBand="1"/>
      </w:tblPr>
      <w:tblGrid>
        <w:gridCol w:w="495"/>
        <w:gridCol w:w="1625"/>
        <w:gridCol w:w="6216"/>
      </w:tblGrid>
      <w:tr w:rsidR="00CA710C" w:rsidRPr="00DB7959" w:rsidTr="00FF501F">
        <w:trPr>
          <w:trHeight w:val="21"/>
        </w:trPr>
        <w:tc>
          <w:tcPr>
            <w:tcW w:w="495"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CA710C" w:rsidRPr="00DB7959" w:rsidRDefault="00CA710C" w:rsidP="00D3141E">
            <w:pPr>
              <w:spacing w:before="60" w:line="240" w:lineRule="atLeast"/>
              <w:rPr>
                <w:rFonts w:eastAsia="Times New Roman" w:cs="Times New Roman"/>
                <w:color w:val="000000"/>
                <w:lang w:eastAsia="en-AU"/>
              </w:rPr>
            </w:pPr>
            <w:r w:rsidRPr="00DB7959">
              <w:rPr>
                <w:rFonts w:eastAsia="Times New Roman" w:cs="Times New Roman"/>
                <w:color w:val="000000"/>
                <w:sz w:val="20"/>
                <w:lang w:eastAsia="en-AU"/>
              </w:rPr>
              <w:t>1</w:t>
            </w:r>
          </w:p>
        </w:tc>
        <w:tc>
          <w:tcPr>
            <w:tcW w:w="1625"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CA710C" w:rsidRPr="00DB7959" w:rsidRDefault="00CA710C" w:rsidP="00D3141E">
            <w:pPr>
              <w:spacing w:before="60" w:line="240" w:lineRule="atLeast"/>
              <w:rPr>
                <w:rFonts w:eastAsia="Times New Roman" w:cs="Times New Roman"/>
                <w:color w:val="000000"/>
                <w:lang w:eastAsia="en-AU"/>
              </w:rPr>
            </w:pPr>
            <w:r w:rsidRPr="00DB7959">
              <w:rPr>
                <w:rFonts w:eastAsia="Times New Roman" w:cs="Times New Roman"/>
                <w:color w:val="000000"/>
                <w:sz w:val="20"/>
                <w:lang w:eastAsia="en-AU"/>
              </w:rPr>
              <w:t>416 Smith Street, Collingwood, VIC 3066)</w:t>
            </w:r>
          </w:p>
        </w:tc>
        <w:tc>
          <w:tcPr>
            <w:tcW w:w="6216"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rsidR="00CA710C" w:rsidRPr="00DB7959" w:rsidRDefault="00CA710C" w:rsidP="00D3141E">
            <w:pPr>
              <w:rPr>
                <w:rFonts w:cs="Times New Roman"/>
                <w:color w:val="000000"/>
                <w:sz w:val="20"/>
              </w:rPr>
            </w:pPr>
            <w:r w:rsidRPr="00DB7959">
              <w:rPr>
                <w:rFonts w:cs="Times New Roman"/>
                <w:color w:val="000000"/>
                <w:sz w:val="20"/>
              </w:rPr>
              <w:t xml:space="preserve">POLYGON ((144.9849508702755 </w:t>
            </w:r>
            <w:r>
              <w:rPr>
                <w:rFonts w:cs="Times New Roman"/>
                <w:color w:val="000000"/>
                <w:sz w:val="20"/>
              </w:rPr>
              <w:noBreakHyphen/>
            </w:r>
            <w:r w:rsidRPr="00DB7959">
              <w:rPr>
                <w:rFonts w:cs="Times New Roman"/>
                <w:color w:val="000000"/>
                <w:sz w:val="20"/>
              </w:rPr>
              <w:t xml:space="preserve">37.795895570016256,144.9853800237179 </w:t>
            </w:r>
            <w:r>
              <w:rPr>
                <w:rFonts w:cs="Times New Roman"/>
                <w:color w:val="000000"/>
                <w:sz w:val="20"/>
              </w:rPr>
              <w:noBreakHyphen/>
            </w:r>
            <w:r w:rsidRPr="00DB7959">
              <w:rPr>
                <w:rFonts w:cs="Times New Roman"/>
                <w:color w:val="000000"/>
                <w:sz w:val="20"/>
              </w:rPr>
              <w:t xml:space="preserve">37.79594113879333,144.98540684580803 </w:t>
            </w:r>
            <w:r>
              <w:rPr>
                <w:rFonts w:cs="Times New Roman"/>
                <w:color w:val="000000"/>
                <w:sz w:val="20"/>
              </w:rPr>
              <w:noBreakHyphen/>
            </w:r>
            <w:r w:rsidRPr="00DB7959">
              <w:rPr>
                <w:rFonts w:cs="Times New Roman"/>
                <w:color w:val="000000"/>
                <w:sz w:val="20"/>
              </w:rPr>
              <w:t xml:space="preserve">37.795815029783384,144.9856348335743 </w:t>
            </w:r>
            <w:r>
              <w:rPr>
                <w:rFonts w:cs="Times New Roman"/>
                <w:color w:val="000000"/>
                <w:sz w:val="20"/>
              </w:rPr>
              <w:noBreakHyphen/>
            </w:r>
            <w:r w:rsidRPr="00DB7959">
              <w:rPr>
                <w:rFonts w:cs="Times New Roman"/>
                <w:color w:val="000000"/>
                <w:sz w:val="20"/>
              </w:rPr>
              <w:t xml:space="preserve">37.795841523290726,144.98557180166245 </w:t>
            </w:r>
            <w:r>
              <w:rPr>
                <w:rFonts w:cs="Times New Roman"/>
                <w:color w:val="000000"/>
                <w:sz w:val="20"/>
              </w:rPr>
              <w:noBreakHyphen/>
            </w:r>
            <w:r w:rsidRPr="00DB7959">
              <w:rPr>
                <w:rFonts w:cs="Times New Roman"/>
                <w:color w:val="000000"/>
                <w:sz w:val="20"/>
              </w:rPr>
              <w:t xml:space="preserve">37.79619335616743,144.98490527272224 </w:t>
            </w:r>
            <w:r>
              <w:rPr>
                <w:rFonts w:cs="Times New Roman"/>
                <w:color w:val="000000"/>
                <w:sz w:val="20"/>
              </w:rPr>
              <w:noBreakHyphen/>
            </w:r>
            <w:r w:rsidRPr="00DB7959">
              <w:rPr>
                <w:rFonts w:cs="Times New Roman"/>
                <w:color w:val="000000"/>
                <w:sz w:val="20"/>
              </w:rPr>
              <w:t xml:space="preserve">37.79611811494007,144.9849508702755 </w:t>
            </w:r>
            <w:r>
              <w:rPr>
                <w:rFonts w:cs="Times New Roman"/>
                <w:color w:val="000000"/>
                <w:sz w:val="20"/>
              </w:rPr>
              <w:noBreakHyphen/>
            </w:r>
            <w:r w:rsidRPr="00DB7959">
              <w:rPr>
                <w:rFonts w:cs="Times New Roman"/>
                <w:color w:val="000000"/>
                <w:sz w:val="20"/>
              </w:rPr>
              <w:t>37.795895570016256))</w:t>
            </w:r>
          </w:p>
        </w:tc>
      </w:tr>
      <w:tr w:rsidR="00CA710C" w:rsidRPr="00DB7959" w:rsidTr="00EE5570">
        <w:trPr>
          <w:cantSplit/>
          <w:trHeight w:val="21"/>
        </w:trPr>
        <w:tc>
          <w:tcPr>
            <w:tcW w:w="495" w:type="dxa"/>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CA710C" w:rsidRPr="00DB7959" w:rsidRDefault="00CA710C" w:rsidP="00D3141E">
            <w:pPr>
              <w:spacing w:before="60" w:line="240" w:lineRule="atLeast"/>
              <w:rPr>
                <w:rFonts w:eastAsia="Times New Roman" w:cs="Times New Roman"/>
                <w:color w:val="000000"/>
                <w:sz w:val="20"/>
                <w:lang w:eastAsia="en-AU"/>
              </w:rPr>
            </w:pPr>
            <w:r w:rsidRPr="00DB7959">
              <w:rPr>
                <w:rFonts w:eastAsia="Times New Roman" w:cs="Times New Roman"/>
                <w:color w:val="000000"/>
                <w:sz w:val="20"/>
                <w:lang w:eastAsia="en-AU"/>
              </w:rPr>
              <w:t>2</w:t>
            </w:r>
          </w:p>
        </w:tc>
        <w:tc>
          <w:tcPr>
            <w:tcW w:w="1625" w:type="dxa"/>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CA710C" w:rsidRPr="00DB7959" w:rsidRDefault="00CA710C" w:rsidP="00D3141E">
            <w:pPr>
              <w:spacing w:before="60" w:line="240" w:lineRule="atLeast"/>
              <w:rPr>
                <w:rFonts w:eastAsia="Times New Roman" w:cs="Times New Roman"/>
                <w:color w:val="000000"/>
                <w:sz w:val="20"/>
                <w:lang w:eastAsia="en-AU"/>
              </w:rPr>
            </w:pPr>
            <w:r w:rsidRPr="00DB7959">
              <w:rPr>
                <w:rFonts w:eastAsia="Times New Roman" w:cs="Times New Roman"/>
                <w:color w:val="000000"/>
                <w:sz w:val="20"/>
                <w:lang w:eastAsia="en-AU"/>
              </w:rPr>
              <w:t>41</w:t>
            </w:r>
            <w:r>
              <w:rPr>
                <w:rFonts w:eastAsia="Times New Roman" w:cs="Times New Roman"/>
                <w:color w:val="000000"/>
                <w:sz w:val="20"/>
                <w:lang w:eastAsia="en-AU"/>
              </w:rPr>
              <w:noBreakHyphen/>
            </w:r>
            <w:r w:rsidRPr="00DB7959">
              <w:rPr>
                <w:rFonts w:eastAsia="Times New Roman" w:cs="Times New Roman"/>
                <w:color w:val="000000"/>
                <w:sz w:val="20"/>
                <w:lang w:eastAsia="en-AU"/>
              </w:rPr>
              <w:t>55 Leakes Road, Laverton North, VIC 3026</w:t>
            </w:r>
          </w:p>
        </w:tc>
        <w:tc>
          <w:tcPr>
            <w:tcW w:w="6216" w:type="dxa"/>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CA710C" w:rsidRPr="00DB7959" w:rsidRDefault="00CA710C" w:rsidP="00D3141E">
            <w:pPr>
              <w:spacing w:before="100" w:beforeAutospacing="1" w:after="100" w:afterAutospacing="1"/>
              <w:rPr>
                <w:rFonts w:cs="Times New Roman"/>
                <w:sz w:val="20"/>
              </w:rPr>
            </w:pPr>
            <w:r w:rsidRPr="00DB7959">
              <w:rPr>
                <w:rFonts w:cs="Times New Roman"/>
                <w:sz w:val="20"/>
              </w:rPr>
              <w:t xml:space="preserve">POLYGON ((144.76926505565643 </w:t>
            </w:r>
            <w:r>
              <w:rPr>
                <w:rFonts w:cs="Times New Roman"/>
                <w:sz w:val="20"/>
              </w:rPr>
              <w:noBreakHyphen/>
            </w:r>
            <w:r w:rsidRPr="00DB7959">
              <w:rPr>
                <w:rFonts w:cs="Times New Roman"/>
                <w:sz w:val="20"/>
              </w:rPr>
              <w:t xml:space="preserve">37.84244552447756,144.76935088634488 </w:t>
            </w:r>
            <w:r>
              <w:rPr>
                <w:rFonts w:cs="Times New Roman"/>
                <w:sz w:val="20"/>
              </w:rPr>
              <w:noBreakHyphen/>
            </w:r>
            <w:r w:rsidRPr="00DB7959">
              <w:rPr>
                <w:rFonts w:cs="Times New Roman"/>
                <w:sz w:val="20"/>
              </w:rPr>
              <w:t xml:space="preserve">37.84215322023907,144.77069735527039 </w:t>
            </w:r>
            <w:r>
              <w:rPr>
                <w:rFonts w:cs="Times New Roman"/>
                <w:sz w:val="20"/>
              </w:rPr>
              <w:noBreakHyphen/>
            </w:r>
            <w:r w:rsidRPr="00DB7959">
              <w:rPr>
                <w:rFonts w:cs="Times New Roman"/>
                <w:sz w:val="20"/>
              </w:rPr>
              <w:t xml:space="preserve">37.84241163419044,144.77060079574582 </w:t>
            </w:r>
            <w:r>
              <w:rPr>
                <w:rFonts w:cs="Times New Roman"/>
                <w:sz w:val="20"/>
              </w:rPr>
              <w:noBreakHyphen/>
            </w:r>
            <w:r w:rsidRPr="00DB7959">
              <w:rPr>
                <w:rFonts w:cs="Times New Roman"/>
                <w:sz w:val="20"/>
              </w:rPr>
              <w:t xml:space="preserve">37.84270605553977,144.76926505565643 </w:t>
            </w:r>
            <w:r>
              <w:rPr>
                <w:rFonts w:cs="Times New Roman"/>
                <w:sz w:val="20"/>
              </w:rPr>
              <w:noBreakHyphen/>
            </w:r>
            <w:r w:rsidRPr="00DB7959">
              <w:rPr>
                <w:rFonts w:cs="Times New Roman"/>
                <w:sz w:val="20"/>
              </w:rPr>
              <w:t>37.84244552447756))</w:t>
            </w:r>
          </w:p>
        </w:tc>
      </w:tr>
    </w:tbl>
    <w:p w:rsidR="00CA710C" w:rsidRPr="00DB7959" w:rsidRDefault="00CA710C" w:rsidP="00CA710C">
      <w:pPr>
        <w:spacing w:before="240" w:after="240"/>
      </w:pPr>
      <w:r w:rsidRPr="00DB7959">
        <w:t>This amendment results in the text “Insert:” appearing before table item 1 of Schedule 6A.</w:t>
      </w:r>
    </w:p>
    <w:p w:rsidR="00CA710C" w:rsidRPr="00DB7959" w:rsidRDefault="00CA710C" w:rsidP="00CA710C">
      <w:r w:rsidRPr="00DB7959">
        <w:t>This compilation was editorially changed to omit “Insert:” from Schedule 6A to correct the error arising out of the amendment of the instrument.</w:t>
      </w:r>
    </w:p>
    <w:p w:rsidR="007709D9" w:rsidRDefault="000A70ED" w:rsidP="00D159F3">
      <w:pPr>
        <w:pStyle w:val="Head2"/>
        <w:keepLines/>
        <w:spacing w:after="240"/>
      </w:pPr>
      <w:r w:rsidRPr="00AB759A">
        <w:lastRenderedPageBreak/>
        <w:t>Health Insurance (</w:t>
      </w:r>
      <w:r>
        <w:t>Section 3</w:t>
      </w:r>
      <w:r w:rsidRPr="00AB759A">
        <w:t>C Co</w:t>
      </w:r>
      <w:r>
        <w:noBreakHyphen/>
      </w:r>
      <w:r w:rsidRPr="00AB759A">
        <w:t xml:space="preserve">Dependent Pathology Services) </w:t>
      </w:r>
      <w:r>
        <w:t>Determination 2</w:t>
      </w:r>
      <w:r w:rsidRPr="00AB759A">
        <w:t>018</w:t>
      </w:r>
      <w:r w:rsidR="007709D9">
        <w:t>, Compilation No. </w:t>
      </w:r>
      <w:r>
        <w:t>2</w:t>
      </w:r>
      <w:r w:rsidR="007709D9">
        <w:t>1, Registration Date: 2</w:t>
      </w:r>
      <w:r>
        <w:t>9</w:t>
      </w:r>
      <w:r w:rsidR="007709D9">
        <w:t> January 2024 [</w:t>
      </w:r>
      <w:r w:rsidRPr="000A70ED">
        <w:t>F2024C00110</w:t>
      </w:r>
      <w:r w:rsidR="007709D9">
        <w:t>]</w:t>
      </w:r>
    </w:p>
    <w:p w:rsidR="000A70ED" w:rsidRPr="004549F1" w:rsidRDefault="000A70ED" w:rsidP="00D159F3">
      <w:pPr>
        <w:keepNext/>
        <w:keepLines/>
        <w:spacing w:after="240"/>
        <w:rPr>
          <w:b/>
          <w:sz w:val="24"/>
          <w:szCs w:val="24"/>
        </w:rPr>
      </w:pPr>
      <w:r>
        <w:rPr>
          <w:b/>
          <w:sz w:val="24"/>
          <w:szCs w:val="24"/>
        </w:rPr>
        <w:t>Schedule 1</w:t>
      </w:r>
    </w:p>
    <w:p w:rsidR="000A70ED" w:rsidRPr="004549F1" w:rsidRDefault="000A70ED" w:rsidP="00D159F3">
      <w:pPr>
        <w:keepNext/>
        <w:keepLines/>
        <w:spacing w:after="240"/>
        <w:rPr>
          <w:b/>
        </w:rPr>
      </w:pPr>
      <w:r w:rsidRPr="004549F1">
        <w:rPr>
          <w:b/>
        </w:rPr>
        <w:t>Kind of editorial change</w:t>
      </w:r>
    </w:p>
    <w:p w:rsidR="000A70ED" w:rsidRPr="0018341F" w:rsidRDefault="000A70ED" w:rsidP="00D159F3">
      <w:pPr>
        <w:keepNext/>
        <w:keepLines/>
        <w:spacing w:after="240"/>
      </w:pPr>
      <w:r w:rsidRPr="00E2562F">
        <w:t>Give effect to the misdescribed amendment as intended</w:t>
      </w:r>
    </w:p>
    <w:p w:rsidR="000A70ED" w:rsidRPr="004549F1" w:rsidRDefault="000A70ED" w:rsidP="00D159F3">
      <w:pPr>
        <w:keepNext/>
        <w:keepLines/>
        <w:spacing w:after="240"/>
        <w:rPr>
          <w:b/>
        </w:rPr>
      </w:pPr>
      <w:r w:rsidRPr="004549F1">
        <w:rPr>
          <w:b/>
        </w:rPr>
        <w:t>Details of editorial change</w:t>
      </w:r>
    </w:p>
    <w:p w:rsidR="000A70ED" w:rsidRDefault="000A70ED" w:rsidP="000A70ED">
      <w:pPr>
        <w:spacing w:after="240"/>
      </w:pPr>
      <w:r>
        <w:t xml:space="preserve">Schedule 1 item 1 of the </w:t>
      </w:r>
      <w:r w:rsidRPr="000B2334">
        <w:rPr>
          <w:i/>
        </w:rPr>
        <w:t>Health Insurance (Section 3C Co-Dependent Pathology) Amendment (No. 3) Determination 2023</w:t>
      </w:r>
      <w:r>
        <w:t xml:space="preserve"> instructs to insert table item 73307 after table item 73306 of Schedule 1.</w:t>
      </w:r>
    </w:p>
    <w:p w:rsidR="000A70ED" w:rsidRDefault="000A70ED" w:rsidP="000A70ED">
      <w:pPr>
        <w:spacing w:after="240"/>
      </w:pPr>
      <w:r>
        <w:t>Table item 73306 does not appear in Schedule 1.</w:t>
      </w:r>
    </w:p>
    <w:p w:rsidR="000A70ED" w:rsidRDefault="000A70ED" w:rsidP="000A70ED">
      <w:r>
        <w:t>This compilation was editorially changed to insert table item 73307 in the correct numerical order in Schedule 1 to give effect to the misdescribed amendment as intended.</w:t>
      </w:r>
    </w:p>
    <w:p w:rsidR="00C172C9" w:rsidRDefault="00C172C9" w:rsidP="00C172C9">
      <w:pPr>
        <w:pStyle w:val="Head2"/>
        <w:keepLines/>
        <w:spacing w:after="240"/>
      </w:pPr>
      <w:r w:rsidRPr="00357753">
        <w:t>Corporations Act 2001</w:t>
      </w:r>
      <w:r>
        <w:t>, Compilation No.</w:t>
      </w:r>
      <w:r w:rsidR="005B528C">
        <w:t> </w:t>
      </w:r>
      <w:r>
        <w:t xml:space="preserve">128, Registration Date: </w:t>
      </w:r>
      <w:r w:rsidR="005B528C">
        <w:t>24 </w:t>
      </w:r>
      <w:r>
        <w:t>January 2024 [</w:t>
      </w:r>
      <w:r w:rsidR="00803C82" w:rsidRPr="00803C82">
        <w:t>C2024C00044</w:t>
      </w:r>
      <w:r>
        <w:t>]</w:t>
      </w:r>
    </w:p>
    <w:p w:rsidR="00BF5812" w:rsidRPr="004549F1" w:rsidRDefault="00BF5812" w:rsidP="00BF5812">
      <w:pPr>
        <w:spacing w:after="240"/>
        <w:rPr>
          <w:b/>
          <w:sz w:val="24"/>
          <w:szCs w:val="24"/>
        </w:rPr>
      </w:pPr>
      <w:r>
        <w:rPr>
          <w:b/>
          <w:sz w:val="24"/>
          <w:szCs w:val="24"/>
        </w:rPr>
        <w:t>Paragraph 1071D(6)(b)</w:t>
      </w:r>
    </w:p>
    <w:p w:rsidR="00BF5812" w:rsidRPr="004549F1" w:rsidRDefault="00BF5812" w:rsidP="00BF5812">
      <w:pPr>
        <w:spacing w:after="240"/>
        <w:rPr>
          <w:b/>
        </w:rPr>
      </w:pPr>
      <w:r w:rsidRPr="004549F1">
        <w:rPr>
          <w:b/>
        </w:rPr>
        <w:t>Kind of editorial change</w:t>
      </w:r>
    </w:p>
    <w:p w:rsidR="00BF5812" w:rsidRPr="0018341F" w:rsidRDefault="00BF5812" w:rsidP="00BF5812">
      <w:pPr>
        <w:spacing w:after="240"/>
      </w:pPr>
      <w:r w:rsidRPr="00943BCF">
        <w:t>Give effect to the misdescribed amendment as intended</w:t>
      </w:r>
    </w:p>
    <w:p w:rsidR="00BF5812" w:rsidRPr="004549F1" w:rsidRDefault="00BF5812" w:rsidP="00BF5812">
      <w:pPr>
        <w:spacing w:after="240"/>
        <w:rPr>
          <w:b/>
        </w:rPr>
      </w:pPr>
      <w:r w:rsidRPr="004549F1">
        <w:rPr>
          <w:b/>
        </w:rPr>
        <w:t>Details of editorial change</w:t>
      </w:r>
    </w:p>
    <w:p w:rsidR="00BF5812" w:rsidRDefault="00BF5812" w:rsidP="00BF5812">
      <w:pPr>
        <w:spacing w:after="240"/>
      </w:pPr>
      <w:r>
        <w:t xml:space="preserve">Schedule 1 item 103 of the </w:t>
      </w:r>
      <w:r w:rsidRPr="00737915">
        <w:rPr>
          <w:i/>
        </w:rPr>
        <w:t>Treasury Laws Amendment (Modernising Business Communications and Other Measures) Act 2023</w:t>
      </w:r>
      <w:r>
        <w:t xml:space="preserve"> instructs to o</w:t>
      </w:r>
      <w:r w:rsidRPr="00204867">
        <w:t>mit all the words after “and”</w:t>
      </w:r>
      <w:r>
        <w:t xml:space="preserve"> and</w:t>
      </w:r>
      <w:r w:rsidRPr="00204867">
        <w:t xml:space="preserve"> substitute “by publishing a notice in any other manner the company thinks fit”</w:t>
      </w:r>
      <w:r>
        <w:t xml:space="preserve"> in paragraph 1071D(6)(b).</w:t>
      </w:r>
    </w:p>
    <w:p w:rsidR="00BF5812" w:rsidRDefault="00BF5812" w:rsidP="00BF5812">
      <w:pPr>
        <w:spacing w:after="240"/>
      </w:pPr>
      <w:r>
        <w:t>The word “and” appears twice in paragraph 1071D(6)(b).</w:t>
      </w:r>
    </w:p>
    <w:p w:rsidR="00BF5812" w:rsidRPr="004549F1" w:rsidRDefault="00BF5812" w:rsidP="00BF5812">
      <w:r>
        <w:t xml:space="preserve">This compilation was editorially changed to omit </w:t>
      </w:r>
      <w:r w:rsidRPr="00204867">
        <w:t>all the words after</w:t>
      </w:r>
      <w:r>
        <w:t xml:space="preserve"> “and” (first occurring) and</w:t>
      </w:r>
      <w:r w:rsidRPr="00204867">
        <w:t xml:space="preserve"> substitute “by publishing a notice in any other manner the company thinks fit”</w:t>
      </w:r>
      <w:r>
        <w:t xml:space="preserve"> in paragraph 1071D(6)(b) to give effect to the misdescribed amendment as intended.</w:t>
      </w:r>
    </w:p>
    <w:p w:rsidR="009B6969" w:rsidRDefault="009B6969" w:rsidP="00D159F3">
      <w:pPr>
        <w:pStyle w:val="Head2"/>
        <w:keepLines/>
        <w:spacing w:after="240"/>
      </w:pPr>
      <w:r w:rsidRPr="009B6969">
        <w:lastRenderedPageBreak/>
        <w:t>National Redress Scheme for Institutional Child Sexual Abuse Declaration 2018</w:t>
      </w:r>
      <w:r>
        <w:t>, Compilation No.</w:t>
      </w:r>
      <w:r w:rsidR="005B528C">
        <w:t> </w:t>
      </w:r>
      <w:r>
        <w:t>68, Registration Date: 18</w:t>
      </w:r>
      <w:r w:rsidR="005B528C">
        <w:t> </w:t>
      </w:r>
      <w:r>
        <w:t>January 2024 [</w:t>
      </w:r>
      <w:r w:rsidRPr="009B6969">
        <w:t>F2024C00077</w:t>
      </w:r>
      <w:r>
        <w:t>]</w:t>
      </w:r>
    </w:p>
    <w:p w:rsidR="006D62AB" w:rsidRDefault="006D62AB" w:rsidP="00D159F3">
      <w:pPr>
        <w:keepNext/>
        <w:keepLines/>
        <w:spacing w:after="240"/>
        <w:rPr>
          <w:b/>
          <w:sz w:val="24"/>
          <w:szCs w:val="24"/>
        </w:rPr>
      </w:pPr>
      <w:r>
        <w:rPr>
          <w:b/>
          <w:sz w:val="24"/>
          <w:szCs w:val="24"/>
        </w:rPr>
        <w:t>Subsection 15(1) (table item 17, column 1)</w:t>
      </w:r>
    </w:p>
    <w:p w:rsidR="006D62AB" w:rsidRDefault="006D62AB" w:rsidP="00D159F3">
      <w:pPr>
        <w:keepNext/>
        <w:keepLines/>
        <w:spacing w:after="240"/>
        <w:rPr>
          <w:b/>
        </w:rPr>
      </w:pPr>
      <w:r>
        <w:rPr>
          <w:b/>
        </w:rPr>
        <w:t>Kind of editorial change</w:t>
      </w:r>
    </w:p>
    <w:p w:rsidR="006D62AB" w:rsidRDefault="006D62AB" w:rsidP="00D159F3">
      <w:pPr>
        <w:keepNext/>
        <w:keepLines/>
        <w:spacing w:after="240"/>
      </w:pPr>
      <w:r>
        <w:t>Change to grammar, syntax or the use of conjunctives or disjunctives</w:t>
      </w:r>
    </w:p>
    <w:p w:rsidR="006D62AB" w:rsidRDefault="006D62AB" w:rsidP="00D159F3">
      <w:pPr>
        <w:keepNext/>
        <w:keepLines/>
        <w:spacing w:after="240"/>
        <w:rPr>
          <w:b/>
        </w:rPr>
      </w:pPr>
      <w:r>
        <w:rPr>
          <w:b/>
        </w:rPr>
        <w:t>Details of editorial change</w:t>
      </w:r>
    </w:p>
    <w:p w:rsidR="006D62AB" w:rsidRDefault="006D62AB" w:rsidP="006D62AB">
      <w:pPr>
        <w:spacing w:after="240"/>
      </w:pPr>
      <w:r>
        <w:t xml:space="preserve">Schedule 1 item 6 of the </w:t>
      </w:r>
      <w:r>
        <w:rPr>
          <w:i/>
        </w:rPr>
        <w:t>National Redress Scheme for Institutional Child Sexual Abuse Amendment (2023 Measures No. 7) Declaration 2023</w:t>
      </w:r>
      <w:r>
        <w:t xml:space="preserve"> provides as follows:</w:t>
      </w:r>
    </w:p>
    <w:p w:rsidR="006D62AB" w:rsidRDefault="006D62AB" w:rsidP="006D62AB">
      <w:pPr>
        <w:pStyle w:val="ItemHead"/>
        <w:ind w:left="426" w:hanging="426"/>
      </w:pPr>
      <w:r>
        <w:t>6</w:t>
      </w:r>
      <w:r>
        <w:tab/>
        <w:t>Subsection 15(1) (table item 17, column 1)</w:t>
      </w:r>
    </w:p>
    <w:p w:rsidR="006D62AB" w:rsidRDefault="006D62AB" w:rsidP="006D62AB">
      <w:pPr>
        <w:pStyle w:val="Item"/>
        <w:spacing w:after="240"/>
        <w:ind w:left="425"/>
      </w:pPr>
      <w:r>
        <w:t>After the words “All Baptist Churches of Victoria institutions as at” insert the words “paragraphs (a) to (al), (an) to (ba), (bc) to (dm) and (do) to (ik)”.</w:t>
      </w:r>
    </w:p>
    <w:p w:rsidR="006D62AB" w:rsidRDefault="006D62AB" w:rsidP="006D62AB">
      <w:pPr>
        <w:spacing w:after="240"/>
      </w:pPr>
      <w:r>
        <w:t>This amendment results in the phrase “paragraphs (a) to (al), (an) to (ba), (bc) to (dm) and (do) to (ik) Item 30”.</w:t>
      </w:r>
    </w:p>
    <w:p w:rsidR="006D62AB" w:rsidRDefault="006D62AB" w:rsidP="006D62AB">
      <w:pPr>
        <w:spacing w:after="240"/>
      </w:pPr>
      <w:r>
        <w:t>This compilation was editorially changed to insert the word “of” before “Item 30” to correct the grammatical error.</w:t>
      </w:r>
    </w:p>
    <w:p w:rsidR="006D62AB" w:rsidRDefault="006D62AB" w:rsidP="006D62AB">
      <w:pPr>
        <w:spacing w:after="240"/>
        <w:rPr>
          <w:b/>
          <w:sz w:val="24"/>
          <w:szCs w:val="24"/>
        </w:rPr>
      </w:pPr>
      <w:r>
        <w:rPr>
          <w:b/>
          <w:sz w:val="24"/>
          <w:szCs w:val="24"/>
        </w:rPr>
        <w:t>Schedule 1 (table item 306)</w:t>
      </w:r>
    </w:p>
    <w:p w:rsidR="006D62AB" w:rsidRDefault="006D62AB" w:rsidP="006D62AB">
      <w:pPr>
        <w:spacing w:after="240"/>
        <w:rPr>
          <w:b/>
        </w:rPr>
      </w:pPr>
      <w:r>
        <w:rPr>
          <w:b/>
        </w:rPr>
        <w:t>Kind of editorial change</w:t>
      </w:r>
    </w:p>
    <w:p w:rsidR="006D62AB" w:rsidRDefault="006D62AB" w:rsidP="006D62AB">
      <w:pPr>
        <w:spacing w:after="240"/>
      </w:pPr>
      <w:r>
        <w:t>Give effect to the misdescribed amendment as intended</w:t>
      </w:r>
    </w:p>
    <w:p w:rsidR="006D62AB" w:rsidRDefault="006D62AB" w:rsidP="006D62AB">
      <w:pPr>
        <w:spacing w:after="240"/>
        <w:rPr>
          <w:b/>
        </w:rPr>
      </w:pPr>
      <w:r>
        <w:rPr>
          <w:b/>
        </w:rPr>
        <w:t>Details of editorial change</w:t>
      </w:r>
    </w:p>
    <w:p w:rsidR="006D62AB" w:rsidRDefault="006D62AB" w:rsidP="006D62AB">
      <w:pPr>
        <w:spacing w:after="240"/>
      </w:pPr>
      <w:r>
        <w:t xml:space="preserve">Schedule 1 item 14 of the </w:t>
      </w:r>
      <w:r>
        <w:rPr>
          <w:i/>
        </w:rPr>
        <w:t>National Redress Scheme for Institutional Child Sexual Abuse Amendment (2023 Measures No. 7) Declaration 2023</w:t>
      </w:r>
      <w:r>
        <w:t xml:space="preserve"> instructs to omit column 1 of table item 306 in Schedule 1.</w:t>
      </w:r>
    </w:p>
    <w:p w:rsidR="006D62AB" w:rsidRDefault="006D62AB" w:rsidP="006D62AB">
      <w:pPr>
        <w:spacing w:after="240"/>
      </w:pPr>
      <w:r>
        <w:t>The instruction refers to “table item 306, column 1” rather than “table item 306”.</w:t>
      </w:r>
    </w:p>
    <w:p w:rsidR="006D62AB" w:rsidRDefault="006D62AB" w:rsidP="006D62AB">
      <w:r>
        <w:t>This compilation was editorially changed to omit the whole of table item 306 in Schedule 1 to give effect to the misdescribed amendment as intended.</w:t>
      </w:r>
    </w:p>
    <w:p w:rsidR="00024EE9" w:rsidRDefault="00AC35F6" w:rsidP="005F3A2E">
      <w:pPr>
        <w:pStyle w:val="Head2"/>
        <w:keepLines/>
        <w:spacing w:after="240"/>
      </w:pPr>
      <w:r w:rsidRPr="00AC35F6">
        <w:lastRenderedPageBreak/>
        <w:t>VET Student Loans (Courses and Loan Caps) Determination 2016</w:t>
      </w:r>
      <w:r>
        <w:t>, Compilation No.</w:t>
      </w:r>
      <w:r w:rsidR="005B528C">
        <w:t> </w:t>
      </w:r>
      <w:r>
        <w:t>14, Registration Date: 16</w:t>
      </w:r>
      <w:r w:rsidR="005B528C">
        <w:t> </w:t>
      </w:r>
      <w:r>
        <w:t>January 2024 [</w:t>
      </w:r>
      <w:r w:rsidR="00024EE9" w:rsidRPr="00024EE9">
        <w:t>F2024C00056</w:t>
      </w:r>
      <w:r w:rsidR="00024EE9">
        <w:t>]</w:t>
      </w:r>
    </w:p>
    <w:p w:rsidR="00024EE9" w:rsidRPr="00097DE2" w:rsidRDefault="00024EE9" w:rsidP="005F3A2E">
      <w:pPr>
        <w:keepNext/>
        <w:keepLines/>
        <w:spacing w:after="240"/>
        <w:rPr>
          <w:b/>
          <w:sz w:val="24"/>
          <w:szCs w:val="24"/>
        </w:rPr>
      </w:pPr>
      <w:r w:rsidRPr="00097DE2">
        <w:rPr>
          <w:b/>
          <w:sz w:val="24"/>
          <w:szCs w:val="24"/>
        </w:rPr>
        <w:t>S</w:t>
      </w:r>
      <w:r>
        <w:rPr>
          <w:b/>
          <w:sz w:val="24"/>
          <w:szCs w:val="24"/>
        </w:rPr>
        <w:t>chedule 3 (table item 1)</w:t>
      </w:r>
    </w:p>
    <w:p w:rsidR="00024EE9" w:rsidRPr="00097DE2" w:rsidRDefault="00024EE9" w:rsidP="005F3A2E">
      <w:pPr>
        <w:keepNext/>
        <w:keepLines/>
        <w:spacing w:after="240"/>
        <w:rPr>
          <w:b/>
        </w:rPr>
      </w:pPr>
      <w:r w:rsidRPr="00097DE2">
        <w:rPr>
          <w:b/>
        </w:rPr>
        <w:t>Kind of editorial change</w:t>
      </w:r>
    </w:p>
    <w:p w:rsidR="00024EE9" w:rsidRPr="00097DE2" w:rsidRDefault="00024EE9" w:rsidP="005F3A2E">
      <w:pPr>
        <w:keepNext/>
        <w:keepLines/>
        <w:spacing w:after="240"/>
      </w:pPr>
      <w:r w:rsidRPr="00097DE2">
        <w:t>Give effect to the misdescribed amendment as intended</w:t>
      </w:r>
    </w:p>
    <w:p w:rsidR="00024EE9" w:rsidRPr="00097DE2" w:rsidRDefault="00024EE9" w:rsidP="005F3A2E">
      <w:pPr>
        <w:keepNext/>
        <w:keepLines/>
        <w:spacing w:after="240"/>
        <w:rPr>
          <w:b/>
        </w:rPr>
      </w:pPr>
      <w:r w:rsidRPr="00097DE2">
        <w:rPr>
          <w:b/>
        </w:rPr>
        <w:t>Details of editorial change</w:t>
      </w:r>
    </w:p>
    <w:p w:rsidR="00024EE9" w:rsidRPr="00097DE2" w:rsidRDefault="00024EE9" w:rsidP="00024EE9">
      <w:pPr>
        <w:spacing w:after="240"/>
      </w:pPr>
      <w:r w:rsidRPr="00097DE2">
        <w:rPr>
          <w:rStyle w:val="CharAmSchNo"/>
        </w:rPr>
        <w:t>Schedule 1 item 1</w:t>
      </w:r>
      <w:r>
        <w:rPr>
          <w:rStyle w:val="CharAmSchNo"/>
        </w:rPr>
        <w:t>4</w:t>
      </w:r>
      <w:r w:rsidRPr="00097DE2">
        <w:rPr>
          <w:rStyle w:val="CharAmSchNo"/>
        </w:rPr>
        <w:t xml:space="preserve"> of t</w:t>
      </w:r>
      <w:r w:rsidRPr="00097DE2">
        <w:t xml:space="preserve">he </w:t>
      </w:r>
      <w:r>
        <w:rPr>
          <w:i/>
          <w:iCs/>
        </w:rPr>
        <w:t>VET Student Loans (Courses and Loan Caps) Amendment Determination (No. 2) 2023</w:t>
      </w:r>
      <w:r w:rsidRPr="00097DE2">
        <w:t xml:space="preserve"> instructs</w:t>
      </w:r>
      <w:r>
        <w:t xml:space="preserve">, in part, </w:t>
      </w:r>
      <w:r w:rsidRPr="00097DE2">
        <w:t xml:space="preserve">to omit </w:t>
      </w:r>
      <w:r>
        <w:t>table item 1 of Schedule 3</w:t>
      </w:r>
      <w:r w:rsidRPr="00097DE2">
        <w:t>.</w:t>
      </w:r>
    </w:p>
    <w:p w:rsidR="00024EE9" w:rsidRPr="00097DE2" w:rsidRDefault="00024EE9" w:rsidP="00024EE9">
      <w:pPr>
        <w:spacing w:after="240"/>
      </w:pPr>
      <w:r w:rsidRPr="00097DE2">
        <w:t xml:space="preserve">The text </w:t>
      </w:r>
      <w:r>
        <w:t>contained in the column headed “</w:t>
      </w:r>
      <w:r w:rsidRPr="00140AB4">
        <w:rPr>
          <w:b/>
        </w:rPr>
        <w:t>Course or qualification name</w:t>
      </w:r>
      <w:r w:rsidRPr="002D4DE9">
        <w:t>”</w:t>
      </w:r>
      <w:r>
        <w:t xml:space="preserve"> </w:t>
      </w:r>
      <w:r w:rsidRPr="00097DE2">
        <w:t xml:space="preserve">in </w:t>
      </w:r>
      <w:r>
        <w:t>table item 1 of Schedule 3</w:t>
      </w:r>
      <w:r w:rsidRPr="00097DE2">
        <w:t xml:space="preserve"> does not exactly match the text to be omitted as outlined in Schedule 1 item 1</w:t>
      </w:r>
      <w:r>
        <w:t>4</w:t>
      </w:r>
      <w:r w:rsidRPr="00097DE2">
        <w:t xml:space="preserve"> of the </w:t>
      </w:r>
      <w:r>
        <w:rPr>
          <w:i/>
          <w:iCs/>
        </w:rPr>
        <w:t>VET Student Loans (Courses and Loan Caps) Amendment Determination (No. 2) 2023</w:t>
      </w:r>
      <w:r w:rsidRPr="00097DE2">
        <w:t>.</w:t>
      </w:r>
    </w:p>
    <w:p w:rsidR="00024EE9" w:rsidRDefault="00024EE9" w:rsidP="00024EE9">
      <w:r w:rsidRPr="00097DE2">
        <w:t xml:space="preserve">This compilation was editorially changed to omit </w:t>
      </w:r>
      <w:r>
        <w:t>table item 1 of Schedule 3</w:t>
      </w:r>
      <w:r w:rsidRPr="00097DE2">
        <w:t xml:space="preserve"> to give effect to the misdescribed amendment as intended</w:t>
      </w:r>
      <w:r>
        <w:t>.</w:t>
      </w:r>
    </w:p>
    <w:p w:rsidR="00122A5D" w:rsidRDefault="008B7E8B" w:rsidP="004D1D3B">
      <w:pPr>
        <w:pStyle w:val="Head2"/>
        <w:keepLines/>
        <w:spacing w:after="240"/>
      </w:pPr>
      <w:r w:rsidRPr="008B7E8B">
        <w:t>Safety, Rehabilitation and Compensation Act 1988</w:t>
      </w:r>
      <w:r>
        <w:t xml:space="preserve">, Compilation </w:t>
      </w:r>
      <w:r w:rsidR="00122A5D">
        <w:t>No.</w:t>
      </w:r>
      <w:r w:rsidR="005B528C">
        <w:t> </w:t>
      </w:r>
      <w:r w:rsidR="00122A5D">
        <w:t>77, Registration Date: 9</w:t>
      </w:r>
      <w:r w:rsidR="005B528C">
        <w:t> </w:t>
      </w:r>
      <w:r w:rsidR="00122A5D">
        <w:t>January 2024</w:t>
      </w:r>
      <w:r w:rsidR="002C4F12">
        <w:t xml:space="preserve"> [</w:t>
      </w:r>
      <w:r w:rsidR="002C4F12" w:rsidRPr="002C4F12">
        <w:t>C2024C00027</w:t>
      </w:r>
      <w:r w:rsidR="002C4F12">
        <w:t>]</w:t>
      </w:r>
    </w:p>
    <w:p w:rsidR="009B6249" w:rsidRPr="004549F1" w:rsidRDefault="009B6249" w:rsidP="009B6249">
      <w:pPr>
        <w:spacing w:after="240"/>
        <w:rPr>
          <w:b/>
          <w:sz w:val="24"/>
          <w:szCs w:val="24"/>
        </w:rPr>
      </w:pPr>
      <w:r>
        <w:rPr>
          <w:b/>
          <w:sz w:val="24"/>
          <w:szCs w:val="24"/>
        </w:rPr>
        <w:t>Section 123</w:t>
      </w:r>
    </w:p>
    <w:p w:rsidR="009B6249" w:rsidRPr="004549F1" w:rsidRDefault="009B6249" w:rsidP="009B6249">
      <w:pPr>
        <w:spacing w:after="240"/>
        <w:rPr>
          <w:b/>
        </w:rPr>
      </w:pPr>
      <w:r w:rsidRPr="004549F1">
        <w:rPr>
          <w:b/>
        </w:rPr>
        <w:t>Kind of editorial change</w:t>
      </w:r>
    </w:p>
    <w:p w:rsidR="009B6249" w:rsidRPr="00AD0805" w:rsidRDefault="009B6249" w:rsidP="009B6249">
      <w:pPr>
        <w:spacing w:after="240"/>
      </w:pPr>
      <w:r>
        <w:rPr>
          <w:color w:val="000000"/>
          <w:szCs w:val="22"/>
          <w:shd w:val="clear" w:color="auto" w:fill="FFFFFF"/>
        </w:rPr>
        <w:t>Reordering of definitions</w:t>
      </w:r>
    </w:p>
    <w:p w:rsidR="009B6249" w:rsidRPr="004549F1" w:rsidRDefault="009B6249" w:rsidP="009B6249">
      <w:pPr>
        <w:spacing w:after="240"/>
        <w:rPr>
          <w:b/>
        </w:rPr>
      </w:pPr>
      <w:r w:rsidRPr="004549F1">
        <w:rPr>
          <w:b/>
        </w:rPr>
        <w:t>Details of editorial change</w:t>
      </w:r>
    </w:p>
    <w:p w:rsidR="009B6249" w:rsidRDefault="009B6249" w:rsidP="009B6249">
      <w:r>
        <w:rPr>
          <w:color w:val="000000"/>
          <w:szCs w:val="22"/>
          <w:shd w:val="clear" w:color="auto" w:fill="FFFFFF"/>
        </w:rPr>
        <w:t xml:space="preserve">This compilation was editorially changed to move the definition of </w:t>
      </w:r>
      <w:r>
        <w:rPr>
          <w:b/>
          <w:i/>
        </w:rPr>
        <w:t>1971 amount</w:t>
      </w:r>
      <w:r w:rsidRPr="0031719C">
        <w:t xml:space="preserve"> </w:t>
      </w:r>
      <w:r>
        <w:rPr>
          <w:color w:val="000000"/>
          <w:szCs w:val="22"/>
          <w:shd w:val="clear" w:color="auto" w:fill="FFFFFF"/>
        </w:rPr>
        <w:t>in section 123 to the correct alphabetical position.</w:t>
      </w:r>
    </w:p>
    <w:p w:rsidR="00AD5793" w:rsidRDefault="000033B7" w:rsidP="004D1D3B">
      <w:pPr>
        <w:pStyle w:val="Head2"/>
        <w:keepLines/>
        <w:spacing w:after="240"/>
      </w:pPr>
      <w:r w:rsidRPr="000033B7">
        <w:t>Australian Apprenticeship Support Loans Act 2014</w:t>
      </w:r>
      <w:r w:rsidR="00AD5793">
        <w:t>, Compilation No.</w:t>
      </w:r>
      <w:r w:rsidR="005B528C">
        <w:t> </w:t>
      </w:r>
      <w:r w:rsidR="00AD5793">
        <w:t>5, Registration Date: 5</w:t>
      </w:r>
      <w:r w:rsidR="005B528C">
        <w:t> </w:t>
      </w:r>
      <w:r w:rsidR="00AD5793">
        <w:t>January 2024 [</w:t>
      </w:r>
      <w:r w:rsidR="00AD5793" w:rsidRPr="00AD5793">
        <w:t>C2024C00020</w:t>
      </w:r>
      <w:r w:rsidR="00AD5793">
        <w:t>]</w:t>
      </w:r>
    </w:p>
    <w:p w:rsidR="00B26667" w:rsidRPr="004549F1" w:rsidRDefault="00B26667" w:rsidP="00B26667">
      <w:pPr>
        <w:spacing w:after="240"/>
        <w:rPr>
          <w:b/>
          <w:sz w:val="24"/>
          <w:szCs w:val="24"/>
        </w:rPr>
      </w:pPr>
      <w:r>
        <w:rPr>
          <w:b/>
          <w:sz w:val="24"/>
          <w:szCs w:val="24"/>
        </w:rPr>
        <w:t>Section 3</w:t>
      </w:r>
    </w:p>
    <w:p w:rsidR="00B26667" w:rsidRPr="004549F1" w:rsidRDefault="00B26667" w:rsidP="00B26667">
      <w:pPr>
        <w:spacing w:after="240"/>
        <w:rPr>
          <w:b/>
        </w:rPr>
      </w:pPr>
      <w:r>
        <w:rPr>
          <w:b/>
        </w:rPr>
        <w:t>Kind of editorial change</w:t>
      </w:r>
    </w:p>
    <w:p w:rsidR="00B26667" w:rsidRDefault="00B26667" w:rsidP="00B26667">
      <w:pPr>
        <w:spacing w:after="240"/>
      </w:pPr>
      <w:r>
        <w:t>Change to punctuation</w:t>
      </w:r>
    </w:p>
    <w:p w:rsidR="00B26667" w:rsidRPr="004549F1" w:rsidRDefault="00B26667" w:rsidP="00B26667">
      <w:pPr>
        <w:spacing w:after="240"/>
        <w:rPr>
          <w:b/>
        </w:rPr>
      </w:pPr>
      <w:r w:rsidRPr="004549F1">
        <w:rPr>
          <w:b/>
        </w:rPr>
        <w:t>Details of editorial change</w:t>
      </w:r>
    </w:p>
    <w:p w:rsidR="00B26667" w:rsidRDefault="00B26667" w:rsidP="00B26667">
      <w:pPr>
        <w:spacing w:after="240"/>
      </w:pPr>
      <w:r>
        <w:t xml:space="preserve">The amendment made by Schedule 1 item 6 of the </w:t>
      </w:r>
      <w:r w:rsidRPr="00E826DC">
        <w:rPr>
          <w:i/>
        </w:rPr>
        <w:t>Trade Support Loans Amendment Act 2023</w:t>
      </w:r>
      <w:r>
        <w:t xml:space="preserve"> results in two full stops at the end of section 3.</w:t>
      </w:r>
    </w:p>
    <w:p w:rsidR="00B26667" w:rsidRPr="004D1346" w:rsidRDefault="00B26667" w:rsidP="00B26667">
      <w:pPr>
        <w:spacing w:after="240"/>
      </w:pPr>
      <w:r>
        <w:t>This compilation was editorially changed to omit the redundant full stop to correct the punctuation.</w:t>
      </w:r>
    </w:p>
    <w:p w:rsidR="001C369C" w:rsidRDefault="001C369C" w:rsidP="004D1D3B">
      <w:pPr>
        <w:pStyle w:val="Head2"/>
        <w:keepLines/>
        <w:spacing w:after="240"/>
      </w:pPr>
      <w:r w:rsidRPr="001C369C">
        <w:lastRenderedPageBreak/>
        <w:t>Migration (LIN 19/049: Specification of Occupations and Assessing Authorities—Subclass 186 Visa) Instrument 2019</w:t>
      </w:r>
      <w:r w:rsidR="0004199D">
        <w:t>, Compilation No.</w:t>
      </w:r>
      <w:r w:rsidR="005B528C">
        <w:t> </w:t>
      </w:r>
      <w:r w:rsidR="0004199D">
        <w:t xml:space="preserve">4, Registration Date: </w:t>
      </w:r>
      <w:r w:rsidR="006F76AE">
        <w:t>5</w:t>
      </w:r>
      <w:r w:rsidR="005B528C">
        <w:t> </w:t>
      </w:r>
      <w:r w:rsidR="006F76AE">
        <w:t>January 2024 [</w:t>
      </w:r>
      <w:r w:rsidR="006F76AE" w:rsidRPr="006F76AE">
        <w:t>F2024C00024</w:t>
      </w:r>
      <w:r w:rsidR="006F76AE">
        <w:t>]</w:t>
      </w:r>
    </w:p>
    <w:p w:rsidR="006F76AE" w:rsidRPr="00A718D0" w:rsidRDefault="006F76AE" w:rsidP="006F76AE">
      <w:pPr>
        <w:spacing w:after="240"/>
        <w:rPr>
          <w:b/>
          <w:sz w:val="24"/>
          <w:szCs w:val="24"/>
        </w:rPr>
      </w:pPr>
      <w:r w:rsidRPr="00A718D0">
        <w:rPr>
          <w:b/>
          <w:sz w:val="24"/>
          <w:szCs w:val="24"/>
        </w:rPr>
        <w:t>Section 14 (first occurring)</w:t>
      </w:r>
    </w:p>
    <w:p w:rsidR="006F76AE" w:rsidRPr="001E1B48" w:rsidRDefault="006F76AE" w:rsidP="006F76AE">
      <w:pPr>
        <w:spacing w:after="240"/>
        <w:rPr>
          <w:b/>
        </w:rPr>
      </w:pPr>
      <w:r w:rsidRPr="001E1B48">
        <w:rPr>
          <w:b/>
        </w:rPr>
        <w:t>Kind of editorial change</w:t>
      </w:r>
    </w:p>
    <w:p w:rsidR="006F76AE" w:rsidRPr="001E1B48" w:rsidRDefault="006F76AE" w:rsidP="006F76AE">
      <w:pPr>
        <w:spacing w:after="240"/>
      </w:pPr>
      <w:r w:rsidRPr="001E1B48">
        <w:t>Numbering or renumbering of provisions and reordering of provisions</w:t>
      </w:r>
    </w:p>
    <w:p w:rsidR="006F76AE" w:rsidRPr="001E1B48" w:rsidRDefault="006F76AE" w:rsidP="006F76AE">
      <w:pPr>
        <w:spacing w:after="240"/>
        <w:rPr>
          <w:b/>
        </w:rPr>
      </w:pPr>
      <w:r w:rsidRPr="001E1B48">
        <w:rPr>
          <w:b/>
        </w:rPr>
        <w:t>Details of editorial change</w:t>
      </w:r>
    </w:p>
    <w:p w:rsidR="006F76AE" w:rsidRPr="001E1B48" w:rsidRDefault="006F76AE" w:rsidP="006F76AE">
      <w:pPr>
        <w:spacing w:after="240"/>
      </w:pPr>
      <w:r w:rsidRPr="001E1B48">
        <w:t xml:space="preserve">Schedule 1 item 17 of the </w:t>
      </w:r>
      <w:r w:rsidRPr="001E1B48">
        <w:rPr>
          <w:i/>
        </w:rPr>
        <w:t>Migration Legislation Amendment (Expanding Access to Temporary Residence Transition Stream) Instrument (LIN 23/078) 2023</w:t>
      </w:r>
      <w:r w:rsidRPr="001E1B48">
        <w:t xml:space="preserve"> instructs to insert section 14 after section 13. However, a section 14 already appears.</w:t>
      </w:r>
    </w:p>
    <w:p w:rsidR="006F76AE" w:rsidRPr="001E1B48" w:rsidRDefault="006F76AE" w:rsidP="006F76AE">
      <w:pPr>
        <w:spacing w:after="240"/>
      </w:pPr>
      <w:r w:rsidRPr="001E1B48">
        <w:t>This compilation was editorially changed by renumbering the newly inserted, first occurring section 14 as section 15 and to move section 15 into the correct numerical order.</w:t>
      </w:r>
    </w:p>
    <w:p w:rsidR="004D1D3B" w:rsidRPr="008F1AF5" w:rsidRDefault="002573BF" w:rsidP="004D1D3B">
      <w:pPr>
        <w:pStyle w:val="Head2"/>
        <w:keepLines/>
        <w:spacing w:after="240"/>
        <w:rPr>
          <w:highlight w:val="yellow"/>
        </w:rPr>
      </w:pPr>
      <w:r w:rsidRPr="002573BF">
        <w:t>List of Specimens Taken to be Suitable for Live Import (29/11/2001)</w:t>
      </w:r>
      <w:r>
        <w:t>, Compilation No.</w:t>
      </w:r>
      <w:r w:rsidR="005B528C">
        <w:t> </w:t>
      </w:r>
      <w:r>
        <w:t xml:space="preserve">100, Registration Date: </w:t>
      </w:r>
      <w:r w:rsidR="00942623">
        <w:t>2</w:t>
      </w:r>
      <w:r w:rsidR="005B528C">
        <w:t> </w:t>
      </w:r>
      <w:r w:rsidR="00942623">
        <w:t>January 2024 [</w:t>
      </w:r>
      <w:r w:rsidR="00942623" w:rsidRPr="00942623">
        <w:t>F2024C00005</w:t>
      </w:r>
      <w:r w:rsidR="00942623">
        <w:t>]</w:t>
      </w:r>
    </w:p>
    <w:p w:rsidR="00180168" w:rsidRPr="00271E25" w:rsidRDefault="00180168" w:rsidP="00180168">
      <w:pPr>
        <w:spacing w:after="240"/>
        <w:rPr>
          <w:b/>
          <w:sz w:val="24"/>
          <w:szCs w:val="24"/>
        </w:rPr>
      </w:pPr>
      <w:r w:rsidRPr="00271E25">
        <w:rPr>
          <w:b/>
          <w:sz w:val="24"/>
          <w:szCs w:val="24"/>
        </w:rPr>
        <w:t>Part 2</w:t>
      </w:r>
    </w:p>
    <w:p w:rsidR="00180168" w:rsidRPr="00516CA4" w:rsidRDefault="00180168" w:rsidP="00180168">
      <w:pPr>
        <w:spacing w:after="240"/>
        <w:rPr>
          <w:b/>
          <w:szCs w:val="22"/>
        </w:rPr>
      </w:pPr>
      <w:r w:rsidRPr="00516CA4">
        <w:rPr>
          <w:b/>
          <w:szCs w:val="22"/>
        </w:rPr>
        <w:t>Kind of editorial change</w:t>
      </w:r>
    </w:p>
    <w:p w:rsidR="00180168" w:rsidRPr="00516CA4" w:rsidRDefault="00180168" w:rsidP="00180168">
      <w:pPr>
        <w:spacing w:after="240"/>
        <w:rPr>
          <w:szCs w:val="22"/>
        </w:rPr>
      </w:pPr>
      <w:r w:rsidRPr="00516CA4">
        <w:rPr>
          <w:szCs w:val="22"/>
        </w:rPr>
        <w:t>Change to spelling</w:t>
      </w:r>
    </w:p>
    <w:p w:rsidR="00180168" w:rsidRPr="00516CA4" w:rsidRDefault="00180168" w:rsidP="00180168">
      <w:pPr>
        <w:spacing w:after="240"/>
        <w:rPr>
          <w:b/>
          <w:szCs w:val="22"/>
        </w:rPr>
      </w:pPr>
      <w:r w:rsidRPr="00516CA4">
        <w:rPr>
          <w:b/>
          <w:szCs w:val="22"/>
        </w:rPr>
        <w:t>Details of editorial change</w:t>
      </w:r>
    </w:p>
    <w:p w:rsidR="00180168" w:rsidRPr="00516CA4" w:rsidRDefault="00180168" w:rsidP="00180168">
      <w:pPr>
        <w:spacing w:after="240"/>
        <w:rPr>
          <w:szCs w:val="22"/>
        </w:rPr>
      </w:pPr>
      <w:r w:rsidRPr="00516CA4">
        <w:rPr>
          <w:szCs w:val="22"/>
        </w:rPr>
        <w:t xml:space="preserve">The amendment made by the </w:t>
      </w:r>
      <w:r w:rsidRPr="00936F62">
        <w:rPr>
          <w:i/>
          <w:szCs w:val="22"/>
        </w:rPr>
        <w:t>List of Specimens Taken to be Suitable for Live Import Amendment (Sixteen species of rainbowfish) Instrument 2023</w:t>
      </w:r>
      <w:r w:rsidRPr="00516CA4">
        <w:rPr>
          <w:szCs w:val="22"/>
        </w:rPr>
        <w:t xml:space="preserve"> instructs to include the following entries in the appropriate alphabetic positions in Part 2 under the heading ‘Vertebrate Animals’, ‘Bony fishes (Osteichthyes)’:</w:t>
      </w:r>
    </w:p>
    <w:tbl>
      <w:tblPr>
        <w:tblStyle w:val="TableGrid"/>
        <w:tblW w:w="0" w:type="auto"/>
        <w:tblLook w:val="04A0" w:firstRow="1" w:lastRow="0" w:firstColumn="1" w:lastColumn="0" w:noHBand="0" w:noVBand="1"/>
      </w:tblPr>
      <w:tblGrid>
        <w:gridCol w:w="2335"/>
        <w:gridCol w:w="2275"/>
        <w:gridCol w:w="4633"/>
      </w:tblGrid>
      <w:tr w:rsidR="00180168" w:rsidRPr="00E42033" w:rsidTr="00271E25">
        <w:trPr>
          <w:tblHeader/>
        </w:trPr>
        <w:tc>
          <w:tcPr>
            <w:tcW w:w="0" w:type="auto"/>
          </w:tcPr>
          <w:p w:rsidR="00180168" w:rsidRPr="00B65D6D" w:rsidRDefault="00180168" w:rsidP="00D3141E">
            <w:pPr>
              <w:pStyle w:val="BodyText3"/>
              <w:rPr>
                <w:b/>
                <w:bCs/>
                <w:sz w:val="22"/>
                <w:szCs w:val="22"/>
              </w:rPr>
            </w:pPr>
            <w:bookmarkStart w:id="48" w:name="_Hlk153959828"/>
            <w:r w:rsidRPr="00B65D6D">
              <w:rPr>
                <w:b/>
                <w:bCs/>
                <w:sz w:val="22"/>
                <w:szCs w:val="22"/>
              </w:rPr>
              <w:t>Taxon</w:t>
            </w:r>
            <w:r w:rsidRPr="00B65D6D">
              <w:rPr>
                <w:b/>
                <w:bCs/>
                <w:sz w:val="22"/>
                <w:szCs w:val="22"/>
              </w:rPr>
              <w:br/>
            </w:r>
          </w:p>
        </w:tc>
        <w:tc>
          <w:tcPr>
            <w:tcW w:w="0" w:type="auto"/>
          </w:tcPr>
          <w:p w:rsidR="00180168" w:rsidRPr="00B65D6D" w:rsidRDefault="00180168" w:rsidP="00D3141E">
            <w:pPr>
              <w:pStyle w:val="BodyText3"/>
              <w:rPr>
                <w:b/>
                <w:bCs/>
                <w:sz w:val="22"/>
                <w:szCs w:val="22"/>
              </w:rPr>
            </w:pPr>
            <w:r w:rsidRPr="00B65D6D">
              <w:rPr>
                <w:b/>
                <w:bCs/>
                <w:sz w:val="22"/>
                <w:szCs w:val="22"/>
              </w:rPr>
              <w:t>Common Name</w:t>
            </w:r>
          </w:p>
        </w:tc>
        <w:tc>
          <w:tcPr>
            <w:tcW w:w="0" w:type="auto"/>
          </w:tcPr>
          <w:p w:rsidR="00180168" w:rsidRPr="00B65D6D" w:rsidRDefault="00180168" w:rsidP="00D3141E">
            <w:pPr>
              <w:pStyle w:val="BodyText3"/>
              <w:rPr>
                <w:b/>
                <w:bCs/>
                <w:sz w:val="22"/>
                <w:szCs w:val="22"/>
              </w:rPr>
            </w:pPr>
            <w:r w:rsidRPr="00B65D6D">
              <w:rPr>
                <w:b/>
                <w:bCs/>
                <w:sz w:val="22"/>
                <w:szCs w:val="22"/>
              </w:rPr>
              <w:t>Conditions for import</w:t>
            </w:r>
          </w:p>
        </w:tc>
      </w:tr>
      <w:tr w:rsidR="00180168" w:rsidRPr="00E42033" w:rsidTr="00D3141E">
        <w:tc>
          <w:tcPr>
            <w:tcW w:w="0" w:type="auto"/>
          </w:tcPr>
          <w:p w:rsidR="00180168" w:rsidRPr="00B65D6D" w:rsidRDefault="00180168" w:rsidP="00D3141E">
            <w:pPr>
              <w:pStyle w:val="BodyText3"/>
              <w:rPr>
                <w:sz w:val="22"/>
                <w:szCs w:val="22"/>
              </w:rPr>
            </w:pPr>
            <w:r w:rsidRPr="00B65D6D">
              <w:rPr>
                <w:i/>
                <w:iCs/>
                <w:sz w:val="22"/>
                <w:szCs w:val="22"/>
              </w:rPr>
              <w:t xml:space="preserve">Chilatherina alleni </w:t>
            </w:r>
          </w:p>
        </w:tc>
        <w:tc>
          <w:tcPr>
            <w:tcW w:w="0" w:type="auto"/>
          </w:tcPr>
          <w:p w:rsidR="00180168" w:rsidRPr="00B65D6D" w:rsidRDefault="00180168" w:rsidP="00D3141E">
            <w:pPr>
              <w:pStyle w:val="BodyText3"/>
              <w:rPr>
                <w:sz w:val="22"/>
                <w:szCs w:val="22"/>
              </w:rPr>
            </w:pPr>
            <w:r w:rsidRPr="00B65D6D">
              <w:rPr>
                <w:sz w:val="22"/>
                <w:szCs w:val="22"/>
              </w:rPr>
              <w:t>Allen’s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sz w:val="22"/>
                <w:szCs w:val="22"/>
              </w:rPr>
            </w:pPr>
            <w:r w:rsidRPr="00B65D6D">
              <w:rPr>
                <w:i/>
                <w:iCs/>
                <w:sz w:val="22"/>
                <w:szCs w:val="22"/>
              </w:rPr>
              <w:t>Chilatherina axelrodi</w:t>
            </w:r>
          </w:p>
        </w:tc>
        <w:tc>
          <w:tcPr>
            <w:tcW w:w="0" w:type="auto"/>
          </w:tcPr>
          <w:p w:rsidR="00180168" w:rsidRPr="00B65D6D" w:rsidRDefault="00180168" w:rsidP="00D3141E">
            <w:pPr>
              <w:pStyle w:val="BodyText3"/>
              <w:rPr>
                <w:sz w:val="22"/>
                <w:szCs w:val="22"/>
              </w:rPr>
            </w:pPr>
            <w:r w:rsidRPr="00B65D6D">
              <w:rPr>
                <w:sz w:val="22"/>
                <w:szCs w:val="22"/>
              </w:rPr>
              <w:t>Axelrod’s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sz w:val="22"/>
                <w:szCs w:val="22"/>
              </w:rPr>
            </w:pPr>
            <w:r w:rsidRPr="00B65D6D">
              <w:rPr>
                <w:i/>
                <w:iCs/>
                <w:sz w:val="22"/>
                <w:szCs w:val="22"/>
              </w:rPr>
              <w:t>Chilatherina bleheri</w:t>
            </w:r>
          </w:p>
        </w:tc>
        <w:tc>
          <w:tcPr>
            <w:tcW w:w="0" w:type="auto"/>
          </w:tcPr>
          <w:p w:rsidR="00180168" w:rsidRPr="00B65D6D" w:rsidRDefault="00180168" w:rsidP="00D3141E">
            <w:pPr>
              <w:pStyle w:val="BodyText3"/>
              <w:rPr>
                <w:sz w:val="22"/>
                <w:szCs w:val="22"/>
              </w:rPr>
            </w:pPr>
            <w:r w:rsidRPr="00B65D6D">
              <w:rPr>
                <w:sz w:val="22"/>
                <w:szCs w:val="22"/>
              </w:rPr>
              <w:t>Bleher’s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sz w:val="22"/>
                <w:szCs w:val="22"/>
              </w:rPr>
            </w:pPr>
            <w:r w:rsidRPr="00B65D6D">
              <w:rPr>
                <w:i/>
                <w:iCs/>
                <w:sz w:val="22"/>
                <w:szCs w:val="22"/>
              </w:rPr>
              <w:t>Chilatherina pagweinsis</w:t>
            </w:r>
          </w:p>
        </w:tc>
        <w:tc>
          <w:tcPr>
            <w:tcW w:w="0" w:type="auto"/>
          </w:tcPr>
          <w:p w:rsidR="00180168" w:rsidRPr="00B65D6D" w:rsidRDefault="00180168" w:rsidP="00D3141E">
            <w:pPr>
              <w:pStyle w:val="BodyText3"/>
              <w:rPr>
                <w:sz w:val="22"/>
                <w:szCs w:val="22"/>
              </w:rPr>
            </w:pPr>
            <w:r w:rsidRPr="00B65D6D">
              <w:rPr>
                <w:color w:val="000000" w:themeColor="text1"/>
                <w:sz w:val="22"/>
                <w:szCs w:val="22"/>
              </w:rPr>
              <w:t>Pagwi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i/>
                <w:iCs/>
                <w:sz w:val="22"/>
                <w:szCs w:val="22"/>
              </w:rPr>
            </w:pPr>
            <w:r w:rsidRPr="00B65D6D">
              <w:rPr>
                <w:i/>
                <w:iCs/>
                <w:sz w:val="22"/>
                <w:szCs w:val="22"/>
              </w:rPr>
              <w:t xml:space="preserve">Chilatherina pricei </w:t>
            </w:r>
          </w:p>
        </w:tc>
        <w:tc>
          <w:tcPr>
            <w:tcW w:w="0" w:type="auto"/>
          </w:tcPr>
          <w:p w:rsidR="00180168" w:rsidRPr="00B65D6D" w:rsidRDefault="00180168" w:rsidP="00D3141E">
            <w:pPr>
              <w:pStyle w:val="BodyText3"/>
              <w:rPr>
                <w:sz w:val="22"/>
                <w:szCs w:val="22"/>
              </w:rPr>
            </w:pPr>
            <w:r w:rsidRPr="00B65D6D">
              <w:rPr>
                <w:sz w:val="22"/>
                <w:szCs w:val="22"/>
              </w:rPr>
              <w:t>Price’s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sz w:val="22"/>
                <w:szCs w:val="22"/>
              </w:rPr>
            </w:pPr>
            <w:r w:rsidRPr="00B65D6D">
              <w:rPr>
                <w:i/>
                <w:iCs/>
                <w:sz w:val="22"/>
                <w:szCs w:val="22"/>
              </w:rPr>
              <w:t>Chilatherina sentaniensis</w:t>
            </w:r>
          </w:p>
        </w:tc>
        <w:tc>
          <w:tcPr>
            <w:tcW w:w="0" w:type="auto"/>
          </w:tcPr>
          <w:p w:rsidR="00180168" w:rsidRPr="00B65D6D" w:rsidRDefault="00180168" w:rsidP="00D3141E">
            <w:pPr>
              <w:pStyle w:val="BodyText3"/>
              <w:rPr>
                <w:sz w:val="22"/>
                <w:szCs w:val="22"/>
              </w:rPr>
            </w:pPr>
            <w:r w:rsidRPr="00B65D6D">
              <w:rPr>
                <w:sz w:val="22"/>
                <w:szCs w:val="22"/>
              </w:rPr>
              <w:t>Sentani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tcPr>
          <w:p w:rsidR="00180168" w:rsidRPr="00B65D6D" w:rsidRDefault="00180168" w:rsidP="00D3141E">
            <w:pPr>
              <w:pStyle w:val="BodyText3"/>
              <w:rPr>
                <w:i/>
                <w:iCs/>
                <w:sz w:val="22"/>
                <w:szCs w:val="22"/>
              </w:rPr>
            </w:pPr>
            <w:r w:rsidRPr="00B65D6D">
              <w:rPr>
                <w:i/>
                <w:iCs/>
                <w:sz w:val="22"/>
                <w:szCs w:val="22"/>
              </w:rPr>
              <w:t>Glossolepis dorityi</w:t>
            </w:r>
          </w:p>
        </w:tc>
        <w:tc>
          <w:tcPr>
            <w:tcW w:w="0" w:type="auto"/>
          </w:tcPr>
          <w:p w:rsidR="00180168" w:rsidRPr="00B65D6D" w:rsidRDefault="00180168" w:rsidP="00D3141E">
            <w:pPr>
              <w:pStyle w:val="BodyText3"/>
              <w:rPr>
                <w:sz w:val="22"/>
                <w:szCs w:val="22"/>
              </w:rPr>
            </w:pPr>
            <w:r w:rsidRPr="00B65D6D">
              <w:rPr>
                <w:sz w:val="22"/>
                <w:szCs w:val="22"/>
              </w:rPr>
              <w:t>Grime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470679">
        <w:trPr>
          <w:cantSplit/>
        </w:trPr>
        <w:tc>
          <w:tcPr>
            <w:tcW w:w="0" w:type="auto"/>
          </w:tcPr>
          <w:p w:rsidR="00180168" w:rsidRPr="00B65D6D" w:rsidRDefault="00180168" w:rsidP="00D3141E">
            <w:pPr>
              <w:pStyle w:val="BodyText3"/>
              <w:rPr>
                <w:i/>
                <w:iCs/>
                <w:sz w:val="22"/>
                <w:szCs w:val="22"/>
              </w:rPr>
            </w:pPr>
            <w:r w:rsidRPr="00B65D6D">
              <w:rPr>
                <w:i/>
                <w:iCs/>
                <w:sz w:val="22"/>
                <w:szCs w:val="22"/>
              </w:rPr>
              <w:lastRenderedPageBreak/>
              <w:t>Glossolepis maculosa</w:t>
            </w:r>
          </w:p>
        </w:tc>
        <w:tc>
          <w:tcPr>
            <w:tcW w:w="0" w:type="auto"/>
          </w:tcPr>
          <w:p w:rsidR="00180168" w:rsidRPr="00B65D6D" w:rsidRDefault="00180168" w:rsidP="00D3141E">
            <w:pPr>
              <w:pStyle w:val="BodyText3"/>
              <w:rPr>
                <w:sz w:val="22"/>
                <w:szCs w:val="22"/>
              </w:rPr>
            </w:pPr>
            <w:r w:rsidRPr="00B65D6D">
              <w:rPr>
                <w:sz w:val="22"/>
                <w:szCs w:val="22"/>
              </w:rPr>
              <w:t>spotted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vAlign w:val="center"/>
          </w:tcPr>
          <w:p w:rsidR="00180168" w:rsidRPr="00B65D6D" w:rsidRDefault="00180168" w:rsidP="00D3141E">
            <w:pPr>
              <w:pStyle w:val="BodyText3"/>
              <w:rPr>
                <w:i/>
                <w:iCs/>
                <w:sz w:val="22"/>
                <w:szCs w:val="22"/>
              </w:rPr>
            </w:pPr>
            <w:r w:rsidRPr="00B65D6D">
              <w:rPr>
                <w:i/>
                <w:iCs/>
                <w:sz w:val="22"/>
                <w:szCs w:val="22"/>
              </w:rPr>
              <w:t xml:space="preserve">Glossolepis pseudoincisus </w:t>
            </w:r>
          </w:p>
        </w:tc>
        <w:tc>
          <w:tcPr>
            <w:tcW w:w="0" w:type="auto"/>
            <w:vAlign w:val="center"/>
          </w:tcPr>
          <w:p w:rsidR="00180168" w:rsidRPr="00B65D6D" w:rsidRDefault="00180168" w:rsidP="00D3141E">
            <w:pPr>
              <w:pStyle w:val="BodyText3"/>
              <w:rPr>
                <w:sz w:val="22"/>
                <w:szCs w:val="22"/>
              </w:rPr>
            </w:pPr>
            <w:r w:rsidRPr="00B65D6D">
              <w:rPr>
                <w:rFonts w:cs="Arial"/>
                <w:sz w:val="22"/>
                <w:szCs w:val="22"/>
              </w:rPr>
              <w:t>Tami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vAlign w:val="center"/>
          </w:tcPr>
          <w:p w:rsidR="00180168" w:rsidRPr="00B65D6D" w:rsidRDefault="00180168" w:rsidP="00D3141E">
            <w:pPr>
              <w:pStyle w:val="BodyText3"/>
              <w:rPr>
                <w:i/>
                <w:iCs/>
                <w:sz w:val="22"/>
                <w:szCs w:val="22"/>
              </w:rPr>
            </w:pPr>
            <w:r w:rsidRPr="00B65D6D">
              <w:rPr>
                <w:i/>
                <w:iCs/>
                <w:sz w:val="22"/>
                <w:szCs w:val="22"/>
              </w:rPr>
              <w:t xml:space="preserve">Glossolepis ramuensis </w:t>
            </w:r>
          </w:p>
        </w:tc>
        <w:tc>
          <w:tcPr>
            <w:tcW w:w="0" w:type="auto"/>
            <w:vAlign w:val="center"/>
          </w:tcPr>
          <w:p w:rsidR="00180168" w:rsidRPr="00B65D6D" w:rsidRDefault="00180168" w:rsidP="00D3141E">
            <w:pPr>
              <w:pStyle w:val="BodyText3"/>
              <w:rPr>
                <w:sz w:val="22"/>
                <w:szCs w:val="22"/>
              </w:rPr>
            </w:pPr>
            <w:r w:rsidRPr="00B65D6D">
              <w:rPr>
                <w:rFonts w:cs="Arial"/>
                <w:sz w:val="22"/>
                <w:szCs w:val="22"/>
              </w:rPr>
              <w:t>Ramu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r w:rsidR="00180168" w:rsidRPr="00E42033" w:rsidTr="00D3141E">
        <w:tc>
          <w:tcPr>
            <w:tcW w:w="0" w:type="auto"/>
            <w:vAlign w:val="center"/>
          </w:tcPr>
          <w:p w:rsidR="00180168" w:rsidRPr="00B65D6D" w:rsidRDefault="00180168" w:rsidP="00D3141E">
            <w:pPr>
              <w:pStyle w:val="BodyText3"/>
              <w:rPr>
                <w:sz w:val="22"/>
                <w:szCs w:val="22"/>
              </w:rPr>
            </w:pPr>
            <w:r w:rsidRPr="00B65D6D">
              <w:rPr>
                <w:i/>
                <w:iCs/>
                <w:sz w:val="22"/>
                <w:szCs w:val="22"/>
              </w:rPr>
              <w:t>Glossolepis wanamensis</w:t>
            </w:r>
            <w:r w:rsidRPr="00B65D6D">
              <w:rPr>
                <w:sz w:val="22"/>
                <w:szCs w:val="22"/>
              </w:rPr>
              <w:t xml:space="preserve"> </w:t>
            </w:r>
          </w:p>
        </w:tc>
        <w:tc>
          <w:tcPr>
            <w:tcW w:w="0" w:type="auto"/>
            <w:vAlign w:val="center"/>
          </w:tcPr>
          <w:p w:rsidR="00180168" w:rsidRPr="00B65D6D" w:rsidRDefault="00180168" w:rsidP="00D3141E">
            <w:pPr>
              <w:pStyle w:val="BodyText3"/>
              <w:rPr>
                <w:sz w:val="22"/>
                <w:szCs w:val="22"/>
              </w:rPr>
            </w:pPr>
            <w:r w:rsidRPr="00B65D6D">
              <w:rPr>
                <w:sz w:val="22"/>
                <w:szCs w:val="22"/>
              </w:rPr>
              <w:t>Lake Wanam rainbowfish</w:t>
            </w:r>
          </w:p>
        </w:tc>
        <w:tc>
          <w:tcPr>
            <w:tcW w:w="0" w:type="auto"/>
          </w:tcPr>
          <w:p w:rsidR="00180168" w:rsidRPr="00B65D6D" w:rsidRDefault="00180168" w:rsidP="00D3141E">
            <w:pPr>
              <w:pStyle w:val="BodyText3"/>
              <w:rPr>
                <w:sz w:val="22"/>
                <w:szCs w:val="22"/>
              </w:rPr>
            </w:pPr>
            <w:r w:rsidRPr="00B65D6D">
              <w:rPr>
                <w:sz w:val="22"/>
                <w:szCs w:val="22"/>
              </w:rPr>
              <w:t>Captive-bred specimens only, of minimum length 4 cm SL</w:t>
            </w:r>
          </w:p>
        </w:tc>
      </w:tr>
    </w:tbl>
    <w:bookmarkEnd w:id="48"/>
    <w:p w:rsidR="00180168" w:rsidRPr="00B65D6D" w:rsidRDefault="00180168" w:rsidP="00180168">
      <w:pPr>
        <w:spacing w:before="240" w:after="240"/>
        <w:rPr>
          <w:szCs w:val="22"/>
        </w:rPr>
      </w:pPr>
      <w:r w:rsidRPr="00B65D6D">
        <w:rPr>
          <w:szCs w:val="22"/>
        </w:rPr>
        <w:t>The text contained in the column headed “</w:t>
      </w:r>
      <w:r w:rsidRPr="00B65D6D">
        <w:rPr>
          <w:b/>
          <w:szCs w:val="22"/>
        </w:rPr>
        <w:t>Taxon</w:t>
      </w:r>
      <w:r w:rsidRPr="00B65D6D">
        <w:rPr>
          <w:szCs w:val="22"/>
        </w:rPr>
        <w:t>” refers to “</w:t>
      </w:r>
      <w:r w:rsidRPr="00516CA4">
        <w:rPr>
          <w:i/>
          <w:iCs/>
          <w:szCs w:val="22"/>
        </w:rPr>
        <w:t>Chilatherina pagweinsis</w:t>
      </w:r>
      <w:r w:rsidRPr="00B65D6D">
        <w:rPr>
          <w:szCs w:val="22"/>
        </w:rPr>
        <w:t>” rather than “</w:t>
      </w:r>
      <w:r w:rsidRPr="00516CA4">
        <w:rPr>
          <w:i/>
          <w:iCs/>
          <w:szCs w:val="22"/>
        </w:rPr>
        <w:t>Chilatherina pagwiensis</w:t>
      </w:r>
      <w:r w:rsidRPr="00B65D6D">
        <w:rPr>
          <w:szCs w:val="22"/>
        </w:rPr>
        <w:t>”.</w:t>
      </w:r>
    </w:p>
    <w:p w:rsidR="00632DDD" w:rsidRPr="00180168" w:rsidRDefault="00180168" w:rsidP="00180168">
      <w:pPr>
        <w:rPr>
          <w:szCs w:val="22"/>
        </w:rPr>
      </w:pPr>
      <w:r w:rsidRPr="00516CA4">
        <w:rPr>
          <w:szCs w:val="22"/>
        </w:rPr>
        <w:t>This compilation was editorially changed to omit “</w:t>
      </w:r>
      <w:r w:rsidRPr="00516CA4">
        <w:rPr>
          <w:i/>
          <w:iCs/>
          <w:szCs w:val="22"/>
        </w:rPr>
        <w:t>Chilatherina pagweinsis</w:t>
      </w:r>
      <w:r w:rsidRPr="00516CA4">
        <w:rPr>
          <w:szCs w:val="22"/>
        </w:rPr>
        <w:t>” and substitute “</w:t>
      </w:r>
      <w:r w:rsidRPr="00516CA4">
        <w:rPr>
          <w:i/>
          <w:iCs/>
          <w:szCs w:val="22"/>
        </w:rPr>
        <w:t>Chilatherina pagwiensis</w:t>
      </w:r>
      <w:r w:rsidRPr="00516CA4">
        <w:rPr>
          <w:szCs w:val="22"/>
        </w:rPr>
        <w:t>” in the column headed “</w:t>
      </w:r>
      <w:r w:rsidRPr="00516CA4">
        <w:rPr>
          <w:b/>
          <w:szCs w:val="22"/>
        </w:rPr>
        <w:t>Taxon</w:t>
      </w:r>
      <w:r w:rsidRPr="00516CA4">
        <w:rPr>
          <w:szCs w:val="22"/>
        </w:rPr>
        <w:t>” in Part 2 under the heading ‘Vertebrate Animals’, ‘Bony fishes (Osteichthyes)’ to correct the spelling error.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632DDD" w:rsidRPr="00180168" w:rsidSect="00E94477">
      <w:footerReference w:type="default" r:id="rId8"/>
      <w:headerReference w:type="first" r:id="rId9"/>
      <w:footerReference w:type="first" r:id="rId10"/>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04" w:rsidRDefault="005A3704" w:rsidP="008E17F3">
      <w:pPr>
        <w:spacing w:line="240" w:lineRule="auto"/>
      </w:pPr>
      <w:r>
        <w:separator/>
      </w:r>
    </w:p>
  </w:endnote>
  <w:endnote w:type="continuationSeparator" w:id="0">
    <w:p w:rsidR="005A3704" w:rsidRDefault="005A3704"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04" w:rsidRDefault="005A3704" w:rsidP="00871611">
    <w:pPr>
      <w:pStyle w:val="Footer"/>
      <w:tabs>
        <w:tab w:val="clear" w:pos="4153"/>
        <w:tab w:val="clear" w:pos="8306"/>
        <w:tab w:val="left" w:pos="7680"/>
      </w:tabs>
      <w:ind w:right="27"/>
      <w:rPr>
        <w:sz w:val="16"/>
      </w:rPr>
    </w:pPr>
    <w:r>
      <w:rPr>
        <w:sz w:val="16"/>
      </w:rPr>
      <w:t>[</w:t>
    </w:r>
    <w:r w:rsidR="00441860">
      <w:rPr>
        <w:noProof/>
        <w:sz w:val="16"/>
        <w:szCs w:val="16"/>
      </w:rPr>
      <w:t>S23ZC1812.v15.docx</w:t>
    </w:r>
    <w:r w:rsidRPr="00766393">
      <w:rPr>
        <w:sz w:val="16"/>
        <w:szCs w:val="16"/>
      </w:rPr>
      <w:t>] [</w:t>
    </w:r>
    <w:r w:rsidR="00441860">
      <w:rPr>
        <w:noProof/>
        <w:sz w:val="16"/>
        <w:szCs w:val="16"/>
      </w:rPr>
      <w:t>17-May-24</w:t>
    </w:r>
    <w:r>
      <w:rPr>
        <w:sz w:val="16"/>
      </w:rPr>
      <w:t>] [</w:t>
    </w:r>
    <w:r w:rsidR="00441860">
      <w:rPr>
        <w:noProof/>
        <w:sz w:val="16"/>
      </w:rPr>
      <w:t>5:10 PM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04" w:rsidRDefault="005A3704" w:rsidP="00871611">
    <w:pPr>
      <w:rPr>
        <w:sz w:val="16"/>
        <w:szCs w:val="16"/>
      </w:rPr>
    </w:pPr>
    <w:r>
      <w:rPr>
        <w:sz w:val="16"/>
        <w:szCs w:val="16"/>
      </w:rPr>
      <w:t>________________________________________________________________________________________________________________</w:t>
    </w:r>
  </w:p>
  <w:p w:rsidR="005A3704" w:rsidRDefault="005A3704" w:rsidP="00871611">
    <w:pPr>
      <w:ind w:right="27"/>
      <w:jc w:val="center"/>
      <w:rPr>
        <w:sz w:val="20"/>
      </w:rPr>
    </w:pPr>
    <w:r>
      <w:rPr>
        <w:sz w:val="20"/>
      </w:rPr>
      <w:t>28 Sydney Avenue  Forrest  ACT  2603</w:t>
    </w:r>
  </w:p>
  <w:p w:rsidR="005A3704" w:rsidRDefault="005A3704" w:rsidP="00871611">
    <w:pPr>
      <w:ind w:right="27"/>
      <w:jc w:val="center"/>
      <w:rPr>
        <w:sz w:val="20"/>
      </w:rPr>
    </w:pPr>
    <w:r>
      <w:rPr>
        <w:sz w:val="20"/>
      </w:rPr>
      <w:t>Locked Bag 30 Kingston ACT 2604 • Telephone (02) 6120 1400 • Fax (02) 6120 1403 • ABN 41 425 630 817</w:t>
    </w:r>
  </w:p>
  <w:p w:rsidR="005A3704" w:rsidRDefault="005A3704" w:rsidP="00871611">
    <w:pPr>
      <w:ind w:right="27"/>
      <w:jc w:val="center"/>
      <w:rPr>
        <w:sz w:val="20"/>
      </w:rPr>
    </w:pPr>
    <w:r>
      <w:rPr>
        <w:sz w:val="20"/>
      </w:rPr>
      <w:t>www.opc.gov.au</w:t>
    </w:r>
  </w:p>
  <w:p w:rsidR="005A3704" w:rsidRDefault="00441860" w:rsidP="00871611">
    <w:pPr>
      <w:ind w:right="27"/>
      <w:rPr>
        <w:sz w:val="16"/>
        <w:szCs w:val="16"/>
      </w:rPr>
    </w:pPr>
    <w:r>
      <w:rPr>
        <w:noProof/>
        <w:sz w:val="16"/>
        <w:szCs w:val="16"/>
      </w:rPr>
      <w:t>S23ZC1812.v15.docx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04" w:rsidRDefault="005A3704" w:rsidP="008E17F3">
      <w:pPr>
        <w:spacing w:line="240" w:lineRule="auto"/>
      </w:pPr>
      <w:r>
        <w:separator/>
      </w:r>
    </w:p>
  </w:footnote>
  <w:footnote w:type="continuationSeparator" w:id="0">
    <w:p w:rsidR="005A3704" w:rsidRDefault="005A3704"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04" w:rsidRDefault="005A3704" w:rsidP="00871611">
    <w:pPr>
      <w:ind w:right="27"/>
      <w:rPr>
        <w:sz w:val="18"/>
        <w:szCs w:val="18"/>
      </w:rPr>
    </w:pPr>
    <w:r>
      <w:rPr>
        <w:noProof/>
        <w:sz w:val="20"/>
        <w:lang w:eastAsia="en-AU"/>
      </w:rPr>
      <w:drawing>
        <wp:inline distT="0" distB="0" distL="0" distR="0" wp14:anchorId="7C613880" wp14:editId="38C18CB3">
          <wp:extent cx="3962400" cy="1000125"/>
          <wp:effectExtent l="19050" t="0" r="0" b="0"/>
          <wp:docPr id="1" name="Picture 1" descr="Australian Government Office of Parliamentary Couns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5A3704" w:rsidRPr="00C1453D" w:rsidRDefault="005A3704"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2D42A6A"/>
    <w:multiLevelType w:val="hybridMultilevel"/>
    <w:tmpl w:val="B4166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4A4196B"/>
    <w:multiLevelType w:val="multilevel"/>
    <w:tmpl w:val="AEF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4C57CB"/>
    <w:multiLevelType w:val="hybridMultilevel"/>
    <w:tmpl w:val="9874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3"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5"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97E10D9"/>
    <w:multiLevelType w:val="hybridMultilevel"/>
    <w:tmpl w:val="B9B2717C"/>
    <w:lvl w:ilvl="0" w:tplc="0C090001">
      <w:start w:val="1"/>
      <w:numFmt w:val="bullet"/>
      <w:lvlText w:val=""/>
      <w:lvlJc w:val="left"/>
      <w:pPr>
        <w:ind w:left="360" w:hanging="360"/>
      </w:pPr>
      <w:rPr>
        <w:rFonts w:ascii="Symbol" w:hAnsi="Symbol" w:hint="default"/>
      </w:rPr>
    </w:lvl>
    <w:lvl w:ilvl="1" w:tplc="1A4ACC00">
      <w:numFmt w:val="bullet"/>
      <w:lvlText w:val="·"/>
      <w:lvlJc w:val="left"/>
      <w:pPr>
        <w:ind w:left="1080" w:hanging="360"/>
      </w:pPr>
      <w:rPr>
        <w:rFonts w:ascii="Times New Roman" w:eastAsia="Arial Unicode MS" w:hAnsi="Times New Roman" w:cs="Times New Roman"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991418"/>
    <w:multiLevelType w:val="hybridMultilevel"/>
    <w:tmpl w:val="0666B4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4" w15:restartNumberingAfterBreak="0">
    <w:nsid w:val="40466C79"/>
    <w:multiLevelType w:val="hybridMultilevel"/>
    <w:tmpl w:val="62EC8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1"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4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5"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2"/>
  </w:num>
  <w:num w:numId="13">
    <w:abstractNumId w:val="21"/>
  </w:num>
  <w:num w:numId="14">
    <w:abstractNumId w:val="37"/>
  </w:num>
  <w:num w:numId="15">
    <w:abstractNumId w:val="38"/>
  </w:num>
  <w:num w:numId="16">
    <w:abstractNumId w:val="40"/>
  </w:num>
  <w:num w:numId="17">
    <w:abstractNumId w:val="13"/>
  </w:num>
  <w:num w:numId="18">
    <w:abstractNumId w:val="23"/>
  </w:num>
  <w:num w:numId="19">
    <w:abstractNumId w:val="14"/>
  </w:num>
  <w:num w:numId="20">
    <w:abstractNumId w:val="15"/>
  </w:num>
  <w:num w:numId="21">
    <w:abstractNumId w:val="28"/>
  </w:num>
  <w:num w:numId="22">
    <w:abstractNumId w:val="12"/>
  </w:num>
  <w:num w:numId="23">
    <w:abstractNumId w:val="17"/>
  </w:num>
  <w:num w:numId="24">
    <w:abstractNumId w:val="26"/>
  </w:num>
  <w:num w:numId="25">
    <w:abstractNumId w:val="3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9"/>
  </w:num>
  <w:num w:numId="30">
    <w:abstractNumId w:val="25"/>
  </w:num>
  <w:num w:numId="31">
    <w:abstractNumId w:val="19"/>
  </w:num>
  <w:num w:numId="32">
    <w:abstractNumId w:val="45"/>
  </w:num>
  <w:num w:numId="33">
    <w:abstractNumId w:val="10"/>
  </w:num>
  <w:num w:numId="34">
    <w:abstractNumId w:val="44"/>
  </w:num>
  <w:num w:numId="35">
    <w:abstractNumId w:val="46"/>
  </w:num>
  <w:num w:numId="3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2"/>
  </w:num>
  <w:num w:numId="40">
    <w:abstractNumId w:val="43"/>
  </w:num>
  <w:num w:numId="41">
    <w:abstractNumId w:val="41"/>
  </w:num>
  <w:num w:numId="42">
    <w:abstractNumId w:val="36"/>
  </w:num>
  <w:num w:numId="43">
    <w:abstractNumId w:val="20"/>
  </w:num>
  <w:num w:numId="44">
    <w:abstractNumId w:val="34"/>
  </w:num>
  <w:num w:numId="45">
    <w:abstractNumId w:val="29"/>
  </w:num>
  <w:num w:numId="46">
    <w:abstractNumId w:val="27"/>
  </w:num>
  <w:num w:numId="47">
    <w:abstractNumId w:val="1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579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033B7"/>
    <w:rsid w:val="00003FE3"/>
    <w:rsid w:val="00010212"/>
    <w:rsid w:val="000107A7"/>
    <w:rsid w:val="000121C7"/>
    <w:rsid w:val="000136AF"/>
    <w:rsid w:val="00013FB1"/>
    <w:rsid w:val="00015432"/>
    <w:rsid w:val="00015D1E"/>
    <w:rsid w:val="00016BDE"/>
    <w:rsid w:val="000170C2"/>
    <w:rsid w:val="00017851"/>
    <w:rsid w:val="00017F77"/>
    <w:rsid w:val="0002238E"/>
    <w:rsid w:val="00022B7E"/>
    <w:rsid w:val="00022D46"/>
    <w:rsid w:val="00024EE9"/>
    <w:rsid w:val="000267E5"/>
    <w:rsid w:val="000268A8"/>
    <w:rsid w:val="00026BA7"/>
    <w:rsid w:val="00026C02"/>
    <w:rsid w:val="00031729"/>
    <w:rsid w:val="0003260A"/>
    <w:rsid w:val="000335C7"/>
    <w:rsid w:val="0003449F"/>
    <w:rsid w:val="00036246"/>
    <w:rsid w:val="00036B0B"/>
    <w:rsid w:val="00037784"/>
    <w:rsid w:val="0004199D"/>
    <w:rsid w:val="0004296A"/>
    <w:rsid w:val="00046C71"/>
    <w:rsid w:val="000526F6"/>
    <w:rsid w:val="00052915"/>
    <w:rsid w:val="000537C7"/>
    <w:rsid w:val="000544FC"/>
    <w:rsid w:val="000562AE"/>
    <w:rsid w:val="00056743"/>
    <w:rsid w:val="00060152"/>
    <w:rsid w:val="000614BF"/>
    <w:rsid w:val="00061B7F"/>
    <w:rsid w:val="000626FA"/>
    <w:rsid w:val="00062F75"/>
    <w:rsid w:val="000642D2"/>
    <w:rsid w:val="00066300"/>
    <w:rsid w:val="00066A77"/>
    <w:rsid w:val="00067596"/>
    <w:rsid w:val="000706C5"/>
    <w:rsid w:val="000720DB"/>
    <w:rsid w:val="0007350A"/>
    <w:rsid w:val="0007681C"/>
    <w:rsid w:val="000807CC"/>
    <w:rsid w:val="00083613"/>
    <w:rsid w:val="00086F12"/>
    <w:rsid w:val="0009194F"/>
    <w:rsid w:val="0009402D"/>
    <w:rsid w:val="00094B3D"/>
    <w:rsid w:val="0009737E"/>
    <w:rsid w:val="00097E3D"/>
    <w:rsid w:val="000A3045"/>
    <w:rsid w:val="000A317F"/>
    <w:rsid w:val="000A3966"/>
    <w:rsid w:val="000A70ED"/>
    <w:rsid w:val="000A76EB"/>
    <w:rsid w:val="000B0223"/>
    <w:rsid w:val="000B1FC3"/>
    <w:rsid w:val="000B2EFC"/>
    <w:rsid w:val="000B4688"/>
    <w:rsid w:val="000B4C96"/>
    <w:rsid w:val="000B5B2C"/>
    <w:rsid w:val="000C3E7B"/>
    <w:rsid w:val="000C484E"/>
    <w:rsid w:val="000C4B87"/>
    <w:rsid w:val="000C597E"/>
    <w:rsid w:val="000C604C"/>
    <w:rsid w:val="000C6FC2"/>
    <w:rsid w:val="000C71D4"/>
    <w:rsid w:val="000C7384"/>
    <w:rsid w:val="000C79D6"/>
    <w:rsid w:val="000D0266"/>
    <w:rsid w:val="000D05EF"/>
    <w:rsid w:val="000D1F55"/>
    <w:rsid w:val="000D2FD3"/>
    <w:rsid w:val="000D3FDA"/>
    <w:rsid w:val="000D4BEF"/>
    <w:rsid w:val="000D737B"/>
    <w:rsid w:val="000D770A"/>
    <w:rsid w:val="000E017D"/>
    <w:rsid w:val="000E08B8"/>
    <w:rsid w:val="000E3AB4"/>
    <w:rsid w:val="000F06B0"/>
    <w:rsid w:val="000F1746"/>
    <w:rsid w:val="000F1A0F"/>
    <w:rsid w:val="000F4AF4"/>
    <w:rsid w:val="0010060D"/>
    <w:rsid w:val="00101520"/>
    <w:rsid w:val="00102227"/>
    <w:rsid w:val="00102C26"/>
    <w:rsid w:val="00103C32"/>
    <w:rsid w:val="00104A38"/>
    <w:rsid w:val="00105F49"/>
    <w:rsid w:val="001068D9"/>
    <w:rsid w:val="00106F6F"/>
    <w:rsid w:val="0010745C"/>
    <w:rsid w:val="00107845"/>
    <w:rsid w:val="001107BA"/>
    <w:rsid w:val="001108DB"/>
    <w:rsid w:val="00111C4A"/>
    <w:rsid w:val="00114616"/>
    <w:rsid w:val="001163E6"/>
    <w:rsid w:val="00117D55"/>
    <w:rsid w:val="00122300"/>
    <w:rsid w:val="00122A5D"/>
    <w:rsid w:val="00122C00"/>
    <w:rsid w:val="00124BF3"/>
    <w:rsid w:val="00125C60"/>
    <w:rsid w:val="00126DA3"/>
    <w:rsid w:val="00127AA8"/>
    <w:rsid w:val="001330B9"/>
    <w:rsid w:val="001355DF"/>
    <w:rsid w:val="001369E5"/>
    <w:rsid w:val="001403CC"/>
    <w:rsid w:val="00140D8E"/>
    <w:rsid w:val="00140FBD"/>
    <w:rsid w:val="0014125E"/>
    <w:rsid w:val="00142547"/>
    <w:rsid w:val="00142F17"/>
    <w:rsid w:val="00143E6E"/>
    <w:rsid w:val="00143F59"/>
    <w:rsid w:val="00144B39"/>
    <w:rsid w:val="00144E5B"/>
    <w:rsid w:val="00145202"/>
    <w:rsid w:val="0014571A"/>
    <w:rsid w:val="0015061A"/>
    <w:rsid w:val="00150CD2"/>
    <w:rsid w:val="00151DD8"/>
    <w:rsid w:val="001520D7"/>
    <w:rsid w:val="001541AD"/>
    <w:rsid w:val="001543DF"/>
    <w:rsid w:val="00154509"/>
    <w:rsid w:val="00156A78"/>
    <w:rsid w:val="00160A50"/>
    <w:rsid w:val="001644E1"/>
    <w:rsid w:val="00165B53"/>
    <w:rsid w:val="00166241"/>
    <w:rsid w:val="00166C2F"/>
    <w:rsid w:val="001705D7"/>
    <w:rsid w:val="00173FAA"/>
    <w:rsid w:val="0017427E"/>
    <w:rsid w:val="00174394"/>
    <w:rsid w:val="00174846"/>
    <w:rsid w:val="00175115"/>
    <w:rsid w:val="00176306"/>
    <w:rsid w:val="001768CD"/>
    <w:rsid w:val="00176DEE"/>
    <w:rsid w:val="00180168"/>
    <w:rsid w:val="0018102C"/>
    <w:rsid w:val="001823C9"/>
    <w:rsid w:val="00191453"/>
    <w:rsid w:val="001939E1"/>
    <w:rsid w:val="00193F49"/>
    <w:rsid w:val="00195382"/>
    <w:rsid w:val="00195426"/>
    <w:rsid w:val="0019633B"/>
    <w:rsid w:val="00196713"/>
    <w:rsid w:val="00196FD5"/>
    <w:rsid w:val="00197DB7"/>
    <w:rsid w:val="001A0905"/>
    <w:rsid w:val="001A0B36"/>
    <w:rsid w:val="001A306D"/>
    <w:rsid w:val="001A3BEF"/>
    <w:rsid w:val="001A4931"/>
    <w:rsid w:val="001A4DEA"/>
    <w:rsid w:val="001A5DA5"/>
    <w:rsid w:val="001A6224"/>
    <w:rsid w:val="001A7B4E"/>
    <w:rsid w:val="001B1382"/>
    <w:rsid w:val="001B3BD4"/>
    <w:rsid w:val="001B4529"/>
    <w:rsid w:val="001B47A4"/>
    <w:rsid w:val="001B5241"/>
    <w:rsid w:val="001B65E6"/>
    <w:rsid w:val="001B6D22"/>
    <w:rsid w:val="001B6F9D"/>
    <w:rsid w:val="001C0003"/>
    <w:rsid w:val="001C08DD"/>
    <w:rsid w:val="001C1C8D"/>
    <w:rsid w:val="001C20B2"/>
    <w:rsid w:val="001C369C"/>
    <w:rsid w:val="001C380E"/>
    <w:rsid w:val="001C4C5F"/>
    <w:rsid w:val="001C69C4"/>
    <w:rsid w:val="001D04C9"/>
    <w:rsid w:val="001D09F7"/>
    <w:rsid w:val="001D5121"/>
    <w:rsid w:val="001D7E06"/>
    <w:rsid w:val="001E14A3"/>
    <w:rsid w:val="001E14DF"/>
    <w:rsid w:val="001E1F17"/>
    <w:rsid w:val="001E2C0D"/>
    <w:rsid w:val="001E3590"/>
    <w:rsid w:val="001E63F5"/>
    <w:rsid w:val="001E7407"/>
    <w:rsid w:val="001F166E"/>
    <w:rsid w:val="001F1EB6"/>
    <w:rsid w:val="001F3310"/>
    <w:rsid w:val="001F624D"/>
    <w:rsid w:val="001F62E2"/>
    <w:rsid w:val="001F6AEB"/>
    <w:rsid w:val="00200920"/>
    <w:rsid w:val="002010D4"/>
    <w:rsid w:val="00201976"/>
    <w:rsid w:val="002033ED"/>
    <w:rsid w:val="00203E46"/>
    <w:rsid w:val="002101C5"/>
    <w:rsid w:val="00212C7E"/>
    <w:rsid w:val="00212FE9"/>
    <w:rsid w:val="002131D8"/>
    <w:rsid w:val="0021387F"/>
    <w:rsid w:val="002142EF"/>
    <w:rsid w:val="00214AA9"/>
    <w:rsid w:val="00214FEF"/>
    <w:rsid w:val="00216477"/>
    <w:rsid w:val="00216978"/>
    <w:rsid w:val="002169C7"/>
    <w:rsid w:val="002171CA"/>
    <w:rsid w:val="0022380B"/>
    <w:rsid w:val="00223886"/>
    <w:rsid w:val="00223DDB"/>
    <w:rsid w:val="002258C4"/>
    <w:rsid w:val="00226069"/>
    <w:rsid w:val="0022799F"/>
    <w:rsid w:val="00230496"/>
    <w:rsid w:val="00231DBE"/>
    <w:rsid w:val="00233ACF"/>
    <w:rsid w:val="00234F19"/>
    <w:rsid w:val="00235232"/>
    <w:rsid w:val="00235575"/>
    <w:rsid w:val="0023697B"/>
    <w:rsid w:val="00236E7F"/>
    <w:rsid w:val="002418B5"/>
    <w:rsid w:val="0024252A"/>
    <w:rsid w:val="002459F9"/>
    <w:rsid w:val="0024631C"/>
    <w:rsid w:val="0024772F"/>
    <w:rsid w:val="00250004"/>
    <w:rsid w:val="0025131C"/>
    <w:rsid w:val="0025157B"/>
    <w:rsid w:val="00251A0A"/>
    <w:rsid w:val="00251B81"/>
    <w:rsid w:val="002527C1"/>
    <w:rsid w:val="00252F8C"/>
    <w:rsid w:val="00253A2D"/>
    <w:rsid w:val="00253D1B"/>
    <w:rsid w:val="0025499F"/>
    <w:rsid w:val="00255380"/>
    <w:rsid w:val="00255C58"/>
    <w:rsid w:val="00255E17"/>
    <w:rsid w:val="00256EFB"/>
    <w:rsid w:val="00256F14"/>
    <w:rsid w:val="002573BF"/>
    <w:rsid w:val="002614FC"/>
    <w:rsid w:val="00263C51"/>
    <w:rsid w:val="00264D4C"/>
    <w:rsid w:val="002667C0"/>
    <w:rsid w:val="00267598"/>
    <w:rsid w:val="00270D95"/>
    <w:rsid w:val="00271E25"/>
    <w:rsid w:val="00273C85"/>
    <w:rsid w:val="002743E8"/>
    <w:rsid w:val="00274C39"/>
    <w:rsid w:val="0027560F"/>
    <w:rsid w:val="00276D2D"/>
    <w:rsid w:val="002810D0"/>
    <w:rsid w:val="00281937"/>
    <w:rsid w:val="00284976"/>
    <w:rsid w:val="00286E26"/>
    <w:rsid w:val="00287088"/>
    <w:rsid w:val="002878F7"/>
    <w:rsid w:val="00287E4B"/>
    <w:rsid w:val="00292F93"/>
    <w:rsid w:val="00295047"/>
    <w:rsid w:val="00295FBA"/>
    <w:rsid w:val="002970D7"/>
    <w:rsid w:val="00297ECB"/>
    <w:rsid w:val="002A2296"/>
    <w:rsid w:val="002A2B49"/>
    <w:rsid w:val="002A374B"/>
    <w:rsid w:val="002A5C27"/>
    <w:rsid w:val="002A66C3"/>
    <w:rsid w:val="002A7753"/>
    <w:rsid w:val="002B0E1F"/>
    <w:rsid w:val="002B259A"/>
    <w:rsid w:val="002B2857"/>
    <w:rsid w:val="002B44A7"/>
    <w:rsid w:val="002B4D69"/>
    <w:rsid w:val="002B576D"/>
    <w:rsid w:val="002B5E08"/>
    <w:rsid w:val="002B60B3"/>
    <w:rsid w:val="002B6400"/>
    <w:rsid w:val="002B72F6"/>
    <w:rsid w:val="002C0E99"/>
    <w:rsid w:val="002C103B"/>
    <w:rsid w:val="002C14FE"/>
    <w:rsid w:val="002C28A1"/>
    <w:rsid w:val="002C32D7"/>
    <w:rsid w:val="002C372A"/>
    <w:rsid w:val="002C4F12"/>
    <w:rsid w:val="002C5D80"/>
    <w:rsid w:val="002C685B"/>
    <w:rsid w:val="002C6A5C"/>
    <w:rsid w:val="002D043A"/>
    <w:rsid w:val="002D1CA5"/>
    <w:rsid w:val="002D20D2"/>
    <w:rsid w:val="002D6A8E"/>
    <w:rsid w:val="002E2C8D"/>
    <w:rsid w:val="002E3FE4"/>
    <w:rsid w:val="002E469C"/>
    <w:rsid w:val="002E5222"/>
    <w:rsid w:val="002E66BA"/>
    <w:rsid w:val="002E6FE9"/>
    <w:rsid w:val="002E7AD9"/>
    <w:rsid w:val="002F075C"/>
    <w:rsid w:val="002F1CB1"/>
    <w:rsid w:val="002F3EF1"/>
    <w:rsid w:val="002F4543"/>
    <w:rsid w:val="002F4FE3"/>
    <w:rsid w:val="002F6130"/>
    <w:rsid w:val="002F7687"/>
    <w:rsid w:val="00301D98"/>
    <w:rsid w:val="003026FC"/>
    <w:rsid w:val="00302F2E"/>
    <w:rsid w:val="00303142"/>
    <w:rsid w:val="0030342D"/>
    <w:rsid w:val="00304D2F"/>
    <w:rsid w:val="003060DB"/>
    <w:rsid w:val="00306BEA"/>
    <w:rsid w:val="003076C2"/>
    <w:rsid w:val="00307C0A"/>
    <w:rsid w:val="003105E8"/>
    <w:rsid w:val="00311448"/>
    <w:rsid w:val="00311509"/>
    <w:rsid w:val="00311558"/>
    <w:rsid w:val="00314BAB"/>
    <w:rsid w:val="00314E15"/>
    <w:rsid w:val="00315101"/>
    <w:rsid w:val="00315275"/>
    <w:rsid w:val="00320180"/>
    <w:rsid w:val="0032048A"/>
    <w:rsid w:val="00320A79"/>
    <w:rsid w:val="003220FC"/>
    <w:rsid w:val="0032435A"/>
    <w:rsid w:val="003274E0"/>
    <w:rsid w:val="003301B9"/>
    <w:rsid w:val="0033109F"/>
    <w:rsid w:val="00331E81"/>
    <w:rsid w:val="0033315D"/>
    <w:rsid w:val="003342C4"/>
    <w:rsid w:val="00334C96"/>
    <w:rsid w:val="00334E31"/>
    <w:rsid w:val="00335959"/>
    <w:rsid w:val="00336663"/>
    <w:rsid w:val="00336894"/>
    <w:rsid w:val="00342EB0"/>
    <w:rsid w:val="00344210"/>
    <w:rsid w:val="00351722"/>
    <w:rsid w:val="003519EF"/>
    <w:rsid w:val="00351BD6"/>
    <w:rsid w:val="00352B0F"/>
    <w:rsid w:val="00352B8B"/>
    <w:rsid w:val="00353E8F"/>
    <w:rsid w:val="00354C97"/>
    <w:rsid w:val="00355C5E"/>
    <w:rsid w:val="00356E86"/>
    <w:rsid w:val="003607D6"/>
    <w:rsid w:val="00360853"/>
    <w:rsid w:val="00360FB0"/>
    <w:rsid w:val="003616F0"/>
    <w:rsid w:val="00362FEC"/>
    <w:rsid w:val="00365D3C"/>
    <w:rsid w:val="00366056"/>
    <w:rsid w:val="00366694"/>
    <w:rsid w:val="00366B9C"/>
    <w:rsid w:val="00371E4F"/>
    <w:rsid w:val="00372119"/>
    <w:rsid w:val="0037451B"/>
    <w:rsid w:val="00375720"/>
    <w:rsid w:val="00375D65"/>
    <w:rsid w:val="00375F22"/>
    <w:rsid w:val="00376199"/>
    <w:rsid w:val="0038197F"/>
    <w:rsid w:val="00381DED"/>
    <w:rsid w:val="0038215E"/>
    <w:rsid w:val="0038250D"/>
    <w:rsid w:val="00382DA9"/>
    <w:rsid w:val="00383F54"/>
    <w:rsid w:val="0038521B"/>
    <w:rsid w:val="00387B38"/>
    <w:rsid w:val="00390346"/>
    <w:rsid w:val="00391865"/>
    <w:rsid w:val="00392707"/>
    <w:rsid w:val="00393436"/>
    <w:rsid w:val="00395DE8"/>
    <w:rsid w:val="003A0D8C"/>
    <w:rsid w:val="003A0EB9"/>
    <w:rsid w:val="003A11D3"/>
    <w:rsid w:val="003A1E9A"/>
    <w:rsid w:val="003A31D2"/>
    <w:rsid w:val="003A3A0D"/>
    <w:rsid w:val="003A49EA"/>
    <w:rsid w:val="003A4CFE"/>
    <w:rsid w:val="003B2C98"/>
    <w:rsid w:val="003B35D2"/>
    <w:rsid w:val="003B364C"/>
    <w:rsid w:val="003B5348"/>
    <w:rsid w:val="003B5735"/>
    <w:rsid w:val="003B6015"/>
    <w:rsid w:val="003B689A"/>
    <w:rsid w:val="003B6BFC"/>
    <w:rsid w:val="003C132D"/>
    <w:rsid w:val="003C14C6"/>
    <w:rsid w:val="003C1845"/>
    <w:rsid w:val="003C7084"/>
    <w:rsid w:val="003C7E6F"/>
    <w:rsid w:val="003D0BFE"/>
    <w:rsid w:val="003D2362"/>
    <w:rsid w:val="003D2D68"/>
    <w:rsid w:val="003D3100"/>
    <w:rsid w:val="003D5700"/>
    <w:rsid w:val="003D651B"/>
    <w:rsid w:val="003D6F8A"/>
    <w:rsid w:val="003E0031"/>
    <w:rsid w:val="003E05EF"/>
    <w:rsid w:val="003E0FC7"/>
    <w:rsid w:val="003E1ECD"/>
    <w:rsid w:val="003E208E"/>
    <w:rsid w:val="003E32DB"/>
    <w:rsid w:val="003E34F5"/>
    <w:rsid w:val="003E3D42"/>
    <w:rsid w:val="003E4160"/>
    <w:rsid w:val="003E4357"/>
    <w:rsid w:val="003E5990"/>
    <w:rsid w:val="003E5E25"/>
    <w:rsid w:val="003E720B"/>
    <w:rsid w:val="003E7D86"/>
    <w:rsid w:val="003F0059"/>
    <w:rsid w:val="003F0DEB"/>
    <w:rsid w:val="003F36B2"/>
    <w:rsid w:val="00400514"/>
    <w:rsid w:val="00401311"/>
    <w:rsid w:val="00401E53"/>
    <w:rsid w:val="00406CE3"/>
    <w:rsid w:val="004101A7"/>
    <w:rsid w:val="004116CD"/>
    <w:rsid w:val="004126FC"/>
    <w:rsid w:val="00412C41"/>
    <w:rsid w:val="00412D35"/>
    <w:rsid w:val="0041321F"/>
    <w:rsid w:val="004135AE"/>
    <w:rsid w:val="0041575F"/>
    <w:rsid w:val="004175A1"/>
    <w:rsid w:val="00417A4D"/>
    <w:rsid w:val="00417BC4"/>
    <w:rsid w:val="00422087"/>
    <w:rsid w:val="00422EF1"/>
    <w:rsid w:val="004241AC"/>
    <w:rsid w:val="00424CA9"/>
    <w:rsid w:val="00426B8E"/>
    <w:rsid w:val="00427A3E"/>
    <w:rsid w:val="00430768"/>
    <w:rsid w:val="004331F6"/>
    <w:rsid w:val="00434508"/>
    <w:rsid w:val="0043491A"/>
    <w:rsid w:val="00434F97"/>
    <w:rsid w:val="004362F1"/>
    <w:rsid w:val="004366F5"/>
    <w:rsid w:val="004374B1"/>
    <w:rsid w:val="004375FE"/>
    <w:rsid w:val="004379B4"/>
    <w:rsid w:val="00441860"/>
    <w:rsid w:val="0044291A"/>
    <w:rsid w:val="004432FB"/>
    <w:rsid w:val="00443803"/>
    <w:rsid w:val="00450A86"/>
    <w:rsid w:val="00450F7F"/>
    <w:rsid w:val="00451B12"/>
    <w:rsid w:val="00454A25"/>
    <w:rsid w:val="004560FB"/>
    <w:rsid w:val="00460DED"/>
    <w:rsid w:val="004647DF"/>
    <w:rsid w:val="004653F8"/>
    <w:rsid w:val="00465CCE"/>
    <w:rsid w:val="00466DE8"/>
    <w:rsid w:val="004670A4"/>
    <w:rsid w:val="004705BC"/>
    <w:rsid w:val="00470679"/>
    <w:rsid w:val="0047201A"/>
    <w:rsid w:val="00480F24"/>
    <w:rsid w:val="004830A2"/>
    <w:rsid w:val="0048468B"/>
    <w:rsid w:val="00487536"/>
    <w:rsid w:val="0049148B"/>
    <w:rsid w:val="00491EA3"/>
    <w:rsid w:val="00492EA5"/>
    <w:rsid w:val="00495423"/>
    <w:rsid w:val="00495832"/>
    <w:rsid w:val="00496F97"/>
    <w:rsid w:val="004971E8"/>
    <w:rsid w:val="004974FE"/>
    <w:rsid w:val="004A01AC"/>
    <w:rsid w:val="004A2CE3"/>
    <w:rsid w:val="004A374C"/>
    <w:rsid w:val="004A5E5B"/>
    <w:rsid w:val="004B2ED9"/>
    <w:rsid w:val="004B553B"/>
    <w:rsid w:val="004B5902"/>
    <w:rsid w:val="004B5C6B"/>
    <w:rsid w:val="004C30A4"/>
    <w:rsid w:val="004C4A7C"/>
    <w:rsid w:val="004C4E59"/>
    <w:rsid w:val="004C5B3B"/>
    <w:rsid w:val="004C6CAB"/>
    <w:rsid w:val="004C7098"/>
    <w:rsid w:val="004C7422"/>
    <w:rsid w:val="004C77E4"/>
    <w:rsid w:val="004D1B07"/>
    <w:rsid w:val="004D1D3B"/>
    <w:rsid w:val="004D244A"/>
    <w:rsid w:val="004D25BE"/>
    <w:rsid w:val="004D305E"/>
    <w:rsid w:val="004D3E21"/>
    <w:rsid w:val="004D4374"/>
    <w:rsid w:val="004D596D"/>
    <w:rsid w:val="004D5AED"/>
    <w:rsid w:val="004D656F"/>
    <w:rsid w:val="004D746B"/>
    <w:rsid w:val="004E0571"/>
    <w:rsid w:val="004E264D"/>
    <w:rsid w:val="004E4B57"/>
    <w:rsid w:val="004E4C0D"/>
    <w:rsid w:val="004E5468"/>
    <w:rsid w:val="004E7489"/>
    <w:rsid w:val="004F2D3B"/>
    <w:rsid w:val="004F311A"/>
    <w:rsid w:val="004F3AB2"/>
    <w:rsid w:val="004F3E81"/>
    <w:rsid w:val="004F544D"/>
    <w:rsid w:val="004F5B95"/>
    <w:rsid w:val="004F792E"/>
    <w:rsid w:val="00502140"/>
    <w:rsid w:val="00503867"/>
    <w:rsid w:val="00505007"/>
    <w:rsid w:val="00505ABF"/>
    <w:rsid w:val="005061E8"/>
    <w:rsid w:val="0050707B"/>
    <w:rsid w:val="00511219"/>
    <w:rsid w:val="00512BEE"/>
    <w:rsid w:val="00512F55"/>
    <w:rsid w:val="00516B8D"/>
    <w:rsid w:val="00521266"/>
    <w:rsid w:val="005219F1"/>
    <w:rsid w:val="005252ED"/>
    <w:rsid w:val="00526C86"/>
    <w:rsid w:val="0053083B"/>
    <w:rsid w:val="00531EED"/>
    <w:rsid w:val="00532261"/>
    <w:rsid w:val="00532705"/>
    <w:rsid w:val="005327A0"/>
    <w:rsid w:val="00532BC1"/>
    <w:rsid w:val="00535BB8"/>
    <w:rsid w:val="00536645"/>
    <w:rsid w:val="00536B4B"/>
    <w:rsid w:val="00537FBC"/>
    <w:rsid w:val="00542971"/>
    <w:rsid w:val="00543894"/>
    <w:rsid w:val="0054467E"/>
    <w:rsid w:val="00544D18"/>
    <w:rsid w:val="00545927"/>
    <w:rsid w:val="00545F52"/>
    <w:rsid w:val="00546351"/>
    <w:rsid w:val="00547412"/>
    <w:rsid w:val="00547A08"/>
    <w:rsid w:val="005523D4"/>
    <w:rsid w:val="0055389F"/>
    <w:rsid w:val="00555D63"/>
    <w:rsid w:val="00557CB7"/>
    <w:rsid w:val="0056004C"/>
    <w:rsid w:val="00560808"/>
    <w:rsid w:val="005624DD"/>
    <w:rsid w:val="00562AA8"/>
    <w:rsid w:val="00563AFC"/>
    <w:rsid w:val="00564C16"/>
    <w:rsid w:val="00565DD9"/>
    <w:rsid w:val="005663AF"/>
    <w:rsid w:val="005731A8"/>
    <w:rsid w:val="00574669"/>
    <w:rsid w:val="0057491B"/>
    <w:rsid w:val="005769FD"/>
    <w:rsid w:val="00577140"/>
    <w:rsid w:val="00580619"/>
    <w:rsid w:val="00580A1A"/>
    <w:rsid w:val="00584008"/>
    <w:rsid w:val="00584094"/>
    <w:rsid w:val="00584811"/>
    <w:rsid w:val="00585E2B"/>
    <w:rsid w:val="00586CB0"/>
    <w:rsid w:val="00587D24"/>
    <w:rsid w:val="00592789"/>
    <w:rsid w:val="0059289E"/>
    <w:rsid w:val="00592E1D"/>
    <w:rsid w:val="005931E4"/>
    <w:rsid w:val="00594161"/>
    <w:rsid w:val="00594749"/>
    <w:rsid w:val="00595683"/>
    <w:rsid w:val="00596283"/>
    <w:rsid w:val="005971F4"/>
    <w:rsid w:val="0059795A"/>
    <w:rsid w:val="005A0642"/>
    <w:rsid w:val="005A11CB"/>
    <w:rsid w:val="005A1F2E"/>
    <w:rsid w:val="005A21F3"/>
    <w:rsid w:val="005A2F41"/>
    <w:rsid w:val="005A3704"/>
    <w:rsid w:val="005A3E13"/>
    <w:rsid w:val="005A40DA"/>
    <w:rsid w:val="005A4626"/>
    <w:rsid w:val="005A500B"/>
    <w:rsid w:val="005A522F"/>
    <w:rsid w:val="005A55CD"/>
    <w:rsid w:val="005A575B"/>
    <w:rsid w:val="005A5D92"/>
    <w:rsid w:val="005A5E8D"/>
    <w:rsid w:val="005A7984"/>
    <w:rsid w:val="005B13DA"/>
    <w:rsid w:val="005B1817"/>
    <w:rsid w:val="005B1B97"/>
    <w:rsid w:val="005B23AE"/>
    <w:rsid w:val="005B3892"/>
    <w:rsid w:val="005B428A"/>
    <w:rsid w:val="005B528C"/>
    <w:rsid w:val="005B5633"/>
    <w:rsid w:val="005B57A5"/>
    <w:rsid w:val="005B5E61"/>
    <w:rsid w:val="005B6F6E"/>
    <w:rsid w:val="005B730A"/>
    <w:rsid w:val="005B7B0A"/>
    <w:rsid w:val="005C0E49"/>
    <w:rsid w:val="005C51D3"/>
    <w:rsid w:val="005C68EC"/>
    <w:rsid w:val="005C7673"/>
    <w:rsid w:val="005D06A2"/>
    <w:rsid w:val="005D2278"/>
    <w:rsid w:val="005D2CD0"/>
    <w:rsid w:val="005D30B4"/>
    <w:rsid w:val="005D3386"/>
    <w:rsid w:val="005D3C0D"/>
    <w:rsid w:val="005D57CC"/>
    <w:rsid w:val="005D5B13"/>
    <w:rsid w:val="005D5C2E"/>
    <w:rsid w:val="005D7129"/>
    <w:rsid w:val="005D7297"/>
    <w:rsid w:val="005D7298"/>
    <w:rsid w:val="005D7C7B"/>
    <w:rsid w:val="005D7E89"/>
    <w:rsid w:val="005E0666"/>
    <w:rsid w:val="005E0706"/>
    <w:rsid w:val="005E1C92"/>
    <w:rsid w:val="005E5023"/>
    <w:rsid w:val="005E5DCF"/>
    <w:rsid w:val="005E6044"/>
    <w:rsid w:val="005E605C"/>
    <w:rsid w:val="005F3A2E"/>
    <w:rsid w:val="005F7E85"/>
    <w:rsid w:val="00600219"/>
    <w:rsid w:val="006011BC"/>
    <w:rsid w:val="00601A3F"/>
    <w:rsid w:val="00602129"/>
    <w:rsid w:val="00603664"/>
    <w:rsid w:val="00604310"/>
    <w:rsid w:val="00605787"/>
    <w:rsid w:val="0060583B"/>
    <w:rsid w:val="00607924"/>
    <w:rsid w:val="006117F4"/>
    <w:rsid w:val="00611A7C"/>
    <w:rsid w:val="00611B0E"/>
    <w:rsid w:val="00611FC6"/>
    <w:rsid w:val="006131D3"/>
    <w:rsid w:val="006159FA"/>
    <w:rsid w:val="0061780A"/>
    <w:rsid w:val="006207A3"/>
    <w:rsid w:val="00620BDA"/>
    <w:rsid w:val="0062109F"/>
    <w:rsid w:val="0062232B"/>
    <w:rsid w:val="00623107"/>
    <w:rsid w:val="00623370"/>
    <w:rsid w:val="006236EC"/>
    <w:rsid w:val="006247B7"/>
    <w:rsid w:val="00626067"/>
    <w:rsid w:val="0062645C"/>
    <w:rsid w:val="00627019"/>
    <w:rsid w:val="00627543"/>
    <w:rsid w:val="006279B8"/>
    <w:rsid w:val="00630A6B"/>
    <w:rsid w:val="00630BD0"/>
    <w:rsid w:val="00630C54"/>
    <w:rsid w:val="00630F0E"/>
    <w:rsid w:val="006315AB"/>
    <w:rsid w:val="00632DDD"/>
    <w:rsid w:val="00632EAE"/>
    <w:rsid w:val="00633D63"/>
    <w:rsid w:val="00634072"/>
    <w:rsid w:val="006343F1"/>
    <w:rsid w:val="00634B11"/>
    <w:rsid w:val="00635252"/>
    <w:rsid w:val="0063582C"/>
    <w:rsid w:val="00636904"/>
    <w:rsid w:val="006400E7"/>
    <w:rsid w:val="006402D1"/>
    <w:rsid w:val="006421E6"/>
    <w:rsid w:val="00643E71"/>
    <w:rsid w:val="006471ED"/>
    <w:rsid w:val="00647EC2"/>
    <w:rsid w:val="006527B2"/>
    <w:rsid w:val="0065282B"/>
    <w:rsid w:val="00652D52"/>
    <w:rsid w:val="006541FD"/>
    <w:rsid w:val="006545E6"/>
    <w:rsid w:val="00654832"/>
    <w:rsid w:val="00655C8A"/>
    <w:rsid w:val="0065600C"/>
    <w:rsid w:val="00656CA6"/>
    <w:rsid w:val="00656E1C"/>
    <w:rsid w:val="00661582"/>
    <w:rsid w:val="00662CD3"/>
    <w:rsid w:val="00663327"/>
    <w:rsid w:val="00664BEF"/>
    <w:rsid w:val="006660D5"/>
    <w:rsid w:val="006660EF"/>
    <w:rsid w:val="00666F97"/>
    <w:rsid w:val="006708B0"/>
    <w:rsid w:val="00674B14"/>
    <w:rsid w:val="00675CDF"/>
    <w:rsid w:val="00676326"/>
    <w:rsid w:val="006764B3"/>
    <w:rsid w:val="00677CC2"/>
    <w:rsid w:val="00680F77"/>
    <w:rsid w:val="00683DDA"/>
    <w:rsid w:val="00683DFD"/>
    <w:rsid w:val="00685E5D"/>
    <w:rsid w:val="00686300"/>
    <w:rsid w:val="00686E61"/>
    <w:rsid w:val="00686FFF"/>
    <w:rsid w:val="00687372"/>
    <w:rsid w:val="0069207B"/>
    <w:rsid w:val="0069218E"/>
    <w:rsid w:val="006949F9"/>
    <w:rsid w:val="00694AB5"/>
    <w:rsid w:val="00695779"/>
    <w:rsid w:val="006A111F"/>
    <w:rsid w:val="006A18BE"/>
    <w:rsid w:val="006A1D5D"/>
    <w:rsid w:val="006A3033"/>
    <w:rsid w:val="006A37A8"/>
    <w:rsid w:val="006A562C"/>
    <w:rsid w:val="006B0C8C"/>
    <w:rsid w:val="006B0DEC"/>
    <w:rsid w:val="006B148C"/>
    <w:rsid w:val="006B1934"/>
    <w:rsid w:val="006B1EBE"/>
    <w:rsid w:val="006B2C60"/>
    <w:rsid w:val="006B3790"/>
    <w:rsid w:val="006B3952"/>
    <w:rsid w:val="006B5436"/>
    <w:rsid w:val="006B58FB"/>
    <w:rsid w:val="006B6720"/>
    <w:rsid w:val="006C0958"/>
    <w:rsid w:val="006C09EB"/>
    <w:rsid w:val="006C0D07"/>
    <w:rsid w:val="006C2018"/>
    <w:rsid w:val="006C3798"/>
    <w:rsid w:val="006C7117"/>
    <w:rsid w:val="006C7C81"/>
    <w:rsid w:val="006C7F8C"/>
    <w:rsid w:val="006D1B2E"/>
    <w:rsid w:val="006D1FBB"/>
    <w:rsid w:val="006D3720"/>
    <w:rsid w:val="006D44BB"/>
    <w:rsid w:val="006D5BCD"/>
    <w:rsid w:val="006D62AB"/>
    <w:rsid w:val="006D77BA"/>
    <w:rsid w:val="006E0453"/>
    <w:rsid w:val="006E2BF6"/>
    <w:rsid w:val="006E2CA4"/>
    <w:rsid w:val="006E2E9F"/>
    <w:rsid w:val="006E338F"/>
    <w:rsid w:val="006E3937"/>
    <w:rsid w:val="006E4D9E"/>
    <w:rsid w:val="006E541B"/>
    <w:rsid w:val="006E6343"/>
    <w:rsid w:val="006E7CFB"/>
    <w:rsid w:val="006F1A7B"/>
    <w:rsid w:val="006F267A"/>
    <w:rsid w:val="006F2778"/>
    <w:rsid w:val="006F4346"/>
    <w:rsid w:val="006F5F1A"/>
    <w:rsid w:val="006F6425"/>
    <w:rsid w:val="006F76AE"/>
    <w:rsid w:val="006F7C34"/>
    <w:rsid w:val="00700190"/>
    <w:rsid w:val="0070114E"/>
    <w:rsid w:val="0070165C"/>
    <w:rsid w:val="00703EB2"/>
    <w:rsid w:val="00703F48"/>
    <w:rsid w:val="00704318"/>
    <w:rsid w:val="007048EE"/>
    <w:rsid w:val="00704A73"/>
    <w:rsid w:val="0070541A"/>
    <w:rsid w:val="00705A48"/>
    <w:rsid w:val="00706A6B"/>
    <w:rsid w:val="0070717A"/>
    <w:rsid w:val="0070729C"/>
    <w:rsid w:val="00710689"/>
    <w:rsid w:val="007109B6"/>
    <w:rsid w:val="0071346F"/>
    <w:rsid w:val="007146B8"/>
    <w:rsid w:val="007159F0"/>
    <w:rsid w:val="00716235"/>
    <w:rsid w:val="00717F40"/>
    <w:rsid w:val="00721CEA"/>
    <w:rsid w:val="00722CB2"/>
    <w:rsid w:val="00722D8A"/>
    <w:rsid w:val="00724298"/>
    <w:rsid w:val="007275EC"/>
    <w:rsid w:val="00727633"/>
    <w:rsid w:val="007276BC"/>
    <w:rsid w:val="00730A1B"/>
    <w:rsid w:val="00730F1B"/>
    <w:rsid w:val="00731085"/>
    <w:rsid w:val="00731E00"/>
    <w:rsid w:val="00732892"/>
    <w:rsid w:val="0073336B"/>
    <w:rsid w:val="0073384D"/>
    <w:rsid w:val="00733990"/>
    <w:rsid w:val="00734FF6"/>
    <w:rsid w:val="00735C08"/>
    <w:rsid w:val="0073779E"/>
    <w:rsid w:val="00741663"/>
    <w:rsid w:val="00741D46"/>
    <w:rsid w:val="007426A8"/>
    <w:rsid w:val="00743324"/>
    <w:rsid w:val="007442F8"/>
    <w:rsid w:val="00744644"/>
    <w:rsid w:val="00745286"/>
    <w:rsid w:val="00746F5A"/>
    <w:rsid w:val="00747E84"/>
    <w:rsid w:val="007504D6"/>
    <w:rsid w:val="00750FA1"/>
    <w:rsid w:val="00754E97"/>
    <w:rsid w:val="007556E0"/>
    <w:rsid w:val="007564C8"/>
    <w:rsid w:val="00757690"/>
    <w:rsid w:val="00760D5B"/>
    <w:rsid w:val="0076407E"/>
    <w:rsid w:val="007642FB"/>
    <w:rsid w:val="00764C27"/>
    <w:rsid w:val="00766153"/>
    <w:rsid w:val="00766393"/>
    <w:rsid w:val="0076675F"/>
    <w:rsid w:val="00766779"/>
    <w:rsid w:val="0077096E"/>
    <w:rsid w:val="007709D9"/>
    <w:rsid w:val="007712C3"/>
    <w:rsid w:val="007715C9"/>
    <w:rsid w:val="00771CDA"/>
    <w:rsid w:val="00771DF4"/>
    <w:rsid w:val="00774EDD"/>
    <w:rsid w:val="00775577"/>
    <w:rsid w:val="007757EC"/>
    <w:rsid w:val="00775B89"/>
    <w:rsid w:val="00775CC1"/>
    <w:rsid w:val="0078008D"/>
    <w:rsid w:val="00781CF2"/>
    <w:rsid w:val="0078294C"/>
    <w:rsid w:val="007846D5"/>
    <w:rsid w:val="00784C24"/>
    <w:rsid w:val="00786DEF"/>
    <w:rsid w:val="007900FE"/>
    <w:rsid w:val="00791EC9"/>
    <w:rsid w:val="0079338A"/>
    <w:rsid w:val="00793C2C"/>
    <w:rsid w:val="0079429A"/>
    <w:rsid w:val="00797BF5"/>
    <w:rsid w:val="007A05B5"/>
    <w:rsid w:val="007A11F3"/>
    <w:rsid w:val="007A4423"/>
    <w:rsid w:val="007A44EF"/>
    <w:rsid w:val="007A48D9"/>
    <w:rsid w:val="007A5172"/>
    <w:rsid w:val="007A5869"/>
    <w:rsid w:val="007A772D"/>
    <w:rsid w:val="007A7E1E"/>
    <w:rsid w:val="007B20BF"/>
    <w:rsid w:val="007B221B"/>
    <w:rsid w:val="007B4644"/>
    <w:rsid w:val="007B4DDA"/>
    <w:rsid w:val="007B57A5"/>
    <w:rsid w:val="007B62D8"/>
    <w:rsid w:val="007B636B"/>
    <w:rsid w:val="007C034A"/>
    <w:rsid w:val="007C3C45"/>
    <w:rsid w:val="007C6064"/>
    <w:rsid w:val="007C7501"/>
    <w:rsid w:val="007D066A"/>
    <w:rsid w:val="007D2346"/>
    <w:rsid w:val="007D3290"/>
    <w:rsid w:val="007D446B"/>
    <w:rsid w:val="007D46D7"/>
    <w:rsid w:val="007D51EF"/>
    <w:rsid w:val="007D6D60"/>
    <w:rsid w:val="007E0638"/>
    <w:rsid w:val="007E3966"/>
    <w:rsid w:val="007E6189"/>
    <w:rsid w:val="007E6D25"/>
    <w:rsid w:val="007F0BE6"/>
    <w:rsid w:val="007F0DD6"/>
    <w:rsid w:val="007F4210"/>
    <w:rsid w:val="007F451B"/>
    <w:rsid w:val="007F6FF0"/>
    <w:rsid w:val="008006B2"/>
    <w:rsid w:val="008008E7"/>
    <w:rsid w:val="00802A87"/>
    <w:rsid w:val="00803646"/>
    <w:rsid w:val="00803AAA"/>
    <w:rsid w:val="00803B3D"/>
    <w:rsid w:val="00803C82"/>
    <w:rsid w:val="00804A88"/>
    <w:rsid w:val="00805167"/>
    <w:rsid w:val="008061D5"/>
    <w:rsid w:val="00806976"/>
    <w:rsid w:val="00811471"/>
    <w:rsid w:val="0081191C"/>
    <w:rsid w:val="00815AF0"/>
    <w:rsid w:val="008170FD"/>
    <w:rsid w:val="00817959"/>
    <w:rsid w:val="0082004A"/>
    <w:rsid w:val="00820F01"/>
    <w:rsid w:val="00823916"/>
    <w:rsid w:val="00823E68"/>
    <w:rsid w:val="00825347"/>
    <w:rsid w:val="00827369"/>
    <w:rsid w:val="00830E2D"/>
    <w:rsid w:val="008311CB"/>
    <w:rsid w:val="008316EF"/>
    <w:rsid w:val="0083456A"/>
    <w:rsid w:val="0083668C"/>
    <w:rsid w:val="00841BA0"/>
    <w:rsid w:val="00847C06"/>
    <w:rsid w:val="00851759"/>
    <w:rsid w:val="00852CE6"/>
    <w:rsid w:val="00856A31"/>
    <w:rsid w:val="0086077B"/>
    <w:rsid w:val="008612B1"/>
    <w:rsid w:val="008616A4"/>
    <w:rsid w:val="00863768"/>
    <w:rsid w:val="008641D7"/>
    <w:rsid w:val="00864D53"/>
    <w:rsid w:val="00864F72"/>
    <w:rsid w:val="00867CBF"/>
    <w:rsid w:val="00871611"/>
    <w:rsid w:val="00871DE0"/>
    <w:rsid w:val="00872955"/>
    <w:rsid w:val="00872ED7"/>
    <w:rsid w:val="0087542D"/>
    <w:rsid w:val="008754D0"/>
    <w:rsid w:val="0087640A"/>
    <w:rsid w:val="0087696C"/>
    <w:rsid w:val="00880BCB"/>
    <w:rsid w:val="0088111C"/>
    <w:rsid w:val="008826A4"/>
    <w:rsid w:val="00885C6A"/>
    <w:rsid w:val="008918E6"/>
    <w:rsid w:val="00891B3C"/>
    <w:rsid w:val="00891B77"/>
    <w:rsid w:val="0089274C"/>
    <w:rsid w:val="0089332F"/>
    <w:rsid w:val="0089567D"/>
    <w:rsid w:val="00896AF6"/>
    <w:rsid w:val="00896D0E"/>
    <w:rsid w:val="008970DD"/>
    <w:rsid w:val="008A129B"/>
    <w:rsid w:val="008A20B6"/>
    <w:rsid w:val="008A25D4"/>
    <w:rsid w:val="008A4AD8"/>
    <w:rsid w:val="008A4DD7"/>
    <w:rsid w:val="008A5BA0"/>
    <w:rsid w:val="008B0CA8"/>
    <w:rsid w:val="008B1DDB"/>
    <w:rsid w:val="008B2614"/>
    <w:rsid w:val="008B30BA"/>
    <w:rsid w:val="008B3868"/>
    <w:rsid w:val="008B3A59"/>
    <w:rsid w:val="008B4E45"/>
    <w:rsid w:val="008B7E8B"/>
    <w:rsid w:val="008C1B29"/>
    <w:rsid w:val="008C288F"/>
    <w:rsid w:val="008C2C68"/>
    <w:rsid w:val="008C572E"/>
    <w:rsid w:val="008C6526"/>
    <w:rsid w:val="008C6715"/>
    <w:rsid w:val="008C7A18"/>
    <w:rsid w:val="008C7A66"/>
    <w:rsid w:val="008C7C06"/>
    <w:rsid w:val="008C7E23"/>
    <w:rsid w:val="008C7EA5"/>
    <w:rsid w:val="008D65E6"/>
    <w:rsid w:val="008E140B"/>
    <w:rsid w:val="008E17F3"/>
    <w:rsid w:val="008E29D9"/>
    <w:rsid w:val="008E3B8C"/>
    <w:rsid w:val="008E3EF9"/>
    <w:rsid w:val="008E50B8"/>
    <w:rsid w:val="008E570F"/>
    <w:rsid w:val="008F0256"/>
    <w:rsid w:val="008F0B81"/>
    <w:rsid w:val="008F1AF5"/>
    <w:rsid w:val="008F3509"/>
    <w:rsid w:val="008F3B30"/>
    <w:rsid w:val="008F3BBC"/>
    <w:rsid w:val="008F489C"/>
    <w:rsid w:val="008F4C3C"/>
    <w:rsid w:val="008F79EA"/>
    <w:rsid w:val="009019C9"/>
    <w:rsid w:val="009028DA"/>
    <w:rsid w:val="00903CCE"/>
    <w:rsid w:val="00905402"/>
    <w:rsid w:val="00906170"/>
    <w:rsid w:val="00912F89"/>
    <w:rsid w:val="00913203"/>
    <w:rsid w:val="009141F2"/>
    <w:rsid w:val="00915D04"/>
    <w:rsid w:val="0091739A"/>
    <w:rsid w:val="009175DB"/>
    <w:rsid w:val="00920B28"/>
    <w:rsid w:val="009219E7"/>
    <w:rsid w:val="00922D1B"/>
    <w:rsid w:val="00926466"/>
    <w:rsid w:val="0092774D"/>
    <w:rsid w:val="00930DBC"/>
    <w:rsid w:val="00931230"/>
    <w:rsid w:val="00931772"/>
    <w:rsid w:val="0093250C"/>
    <w:rsid w:val="009331E3"/>
    <w:rsid w:val="0093325E"/>
    <w:rsid w:val="00933A1E"/>
    <w:rsid w:val="00933B8A"/>
    <w:rsid w:val="00934B56"/>
    <w:rsid w:val="00935556"/>
    <w:rsid w:val="009371BC"/>
    <w:rsid w:val="0094066C"/>
    <w:rsid w:val="00940941"/>
    <w:rsid w:val="00941E01"/>
    <w:rsid w:val="00942623"/>
    <w:rsid w:val="00942773"/>
    <w:rsid w:val="0094390A"/>
    <w:rsid w:val="00943E38"/>
    <w:rsid w:val="00943E46"/>
    <w:rsid w:val="00944624"/>
    <w:rsid w:val="0094622F"/>
    <w:rsid w:val="00947590"/>
    <w:rsid w:val="009528C8"/>
    <w:rsid w:val="00953786"/>
    <w:rsid w:val="00953831"/>
    <w:rsid w:val="00953A96"/>
    <w:rsid w:val="00954786"/>
    <w:rsid w:val="0095573C"/>
    <w:rsid w:val="00955916"/>
    <w:rsid w:val="00956D55"/>
    <w:rsid w:val="00961D22"/>
    <w:rsid w:val="00962076"/>
    <w:rsid w:val="00962812"/>
    <w:rsid w:val="009747C5"/>
    <w:rsid w:val="009749BC"/>
    <w:rsid w:val="00974D2D"/>
    <w:rsid w:val="0097634C"/>
    <w:rsid w:val="009763AD"/>
    <w:rsid w:val="0097660C"/>
    <w:rsid w:val="00976C66"/>
    <w:rsid w:val="00977462"/>
    <w:rsid w:val="00977E78"/>
    <w:rsid w:val="00984522"/>
    <w:rsid w:val="00984CB9"/>
    <w:rsid w:val="0098638B"/>
    <w:rsid w:val="009871A5"/>
    <w:rsid w:val="009901C9"/>
    <w:rsid w:val="009903A7"/>
    <w:rsid w:val="00991C36"/>
    <w:rsid w:val="009925A2"/>
    <w:rsid w:val="00992B1B"/>
    <w:rsid w:val="0099458A"/>
    <w:rsid w:val="00994D2A"/>
    <w:rsid w:val="00995316"/>
    <w:rsid w:val="009A03A5"/>
    <w:rsid w:val="009A0DA7"/>
    <w:rsid w:val="009A0E25"/>
    <w:rsid w:val="009A17E2"/>
    <w:rsid w:val="009A19BB"/>
    <w:rsid w:val="009A2439"/>
    <w:rsid w:val="009A3939"/>
    <w:rsid w:val="009A3B4C"/>
    <w:rsid w:val="009A4701"/>
    <w:rsid w:val="009A52A5"/>
    <w:rsid w:val="009A57D2"/>
    <w:rsid w:val="009A5CD2"/>
    <w:rsid w:val="009B18D6"/>
    <w:rsid w:val="009B2000"/>
    <w:rsid w:val="009B239A"/>
    <w:rsid w:val="009B247A"/>
    <w:rsid w:val="009B261A"/>
    <w:rsid w:val="009B334F"/>
    <w:rsid w:val="009B4671"/>
    <w:rsid w:val="009B6116"/>
    <w:rsid w:val="009B6249"/>
    <w:rsid w:val="009B6969"/>
    <w:rsid w:val="009B6F38"/>
    <w:rsid w:val="009C02A9"/>
    <w:rsid w:val="009C2D6E"/>
    <w:rsid w:val="009C54E2"/>
    <w:rsid w:val="009C5B7E"/>
    <w:rsid w:val="009D0319"/>
    <w:rsid w:val="009D0433"/>
    <w:rsid w:val="009D4183"/>
    <w:rsid w:val="009D56E3"/>
    <w:rsid w:val="009D6B25"/>
    <w:rsid w:val="009D7619"/>
    <w:rsid w:val="009E1699"/>
    <w:rsid w:val="009E1D76"/>
    <w:rsid w:val="009E2831"/>
    <w:rsid w:val="009E3987"/>
    <w:rsid w:val="009E3EDC"/>
    <w:rsid w:val="009E7322"/>
    <w:rsid w:val="009F082F"/>
    <w:rsid w:val="009F2A18"/>
    <w:rsid w:val="009F46FB"/>
    <w:rsid w:val="009F4A10"/>
    <w:rsid w:val="009F5E75"/>
    <w:rsid w:val="00A0254D"/>
    <w:rsid w:val="00A0343C"/>
    <w:rsid w:val="00A03D2B"/>
    <w:rsid w:val="00A0429E"/>
    <w:rsid w:val="00A05D1C"/>
    <w:rsid w:val="00A11E81"/>
    <w:rsid w:val="00A1399E"/>
    <w:rsid w:val="00A146BF"/>
    <w:rsid w:val="00A15835"/>
    <w:rsid w:val="00A17FE5"/>
    <w:rsid w:val="00A20D8F"/>
    <w:rsid w:val="00A213FE"/>
    <w:rsid w:val="00A21675"/>
    <w:rsid w:val="00A231E2"/>
    <w:rsid w:val="00A23895"/>
    <w:rsid w:val="00A32D1F"/>
    <w:rsid w:val="00A36292"/>
    <w:rsid w:val="00A36EB1"/>
    <w:rsid w:val="00A4131B"/>
    <w:rsid w:val="00A41ACE"/>
    <w:rsid w:val="00A42532"/>
    <w:rsid w:val="00A43988"/>
    <w:rsid w:val="00A43BFA"/>
    <w:rsid w:val="00A442C1"/>
    <w:rsid w:val="00A47465"/>
    <w:rsid w:val="00A5091C"/>
    <w:rsid w:val="00A5154B"/>
    <w:rsid w:val="00A52586"/>
    <w:rsid w:val="00A54B55"/>
    <w:rsid w:val="00A57EE5"/>
    <w:rsid w:val="00A6027D"/>
    <w:rsid w:val="00A609DB"/>
    <w:rsid w:val="00A61598"/>
    <w:rsid w:val="00A61B55"/>
    <w:rsid w:val="00A622D9"/>
    <w:rsid w:val="00A62672"/>
    <w:rsid w:val="00A64831"/>
    <w:rsid w:val="00A64912"/>
    <w:rsid w:val="00A6508F"/>
    <w:rsid w:val="00A65B56"/>
    <w:rsid w:val="00A70A74"/>
    <w:rsid w:val="00A718D0"/>
    <w:rsid w:val="00A71E5D"/>
    <w:rsid w:val="00A76DAE"/>
    <w:rsid w:val="00A77466"/>
    <w:rsid w:val="00A8000C"/>
    <w:rsid w:val="00A800D8"/>
    <w:rsid w:val="00A80619"/>
    <w:rsid w:val="00A80E4A"/>
    <w:rsid w:val="00A82AE5"/>
    <w:rsid w:val="00A83856"/>
    <w:rsid w:val="00A83A89"/>
    <w:rsid w:val="00A91176"/>
    <w:rsid w:val="00A91B5C"/>
    <w:rsid w:val="00A94ACA"/>
    <w:rsid w:val="00A9586F"/>
    <w:rsid w:val="00A95C14"/>
    <w:rsid w:val="00A9645C"/>
    <w:rsid w:val="00A97AAD"/>
    <w:rsid w:val="00AA0F43"/>
    <w:rsid w:val="00AA1F52"/>
    <w:rsid w:val="00AA28C0"/>
    <w:rsid w:val="00AA3455"/>
    <w:rsid w:val="00AB186F"/>
    <w:rsid w:val="00AB2410"/>
    <w:rsid w:val="00AB3BE9"/>
    <w:rsid w:val="00AB46EB"/>
    <w:rsid w:val="00AB5D52"/>
    <w:rsid w:val="00AB718D"/>
    <w:rsid w:val="00AB76E3"/>
    <w:rsid w:val="00AB7F08"/>
    <w:rsid w:val="00AC0CD7"/>
    <w:rsid w:val="00AC23E7"/>
    <w:rsid w:val="00AC3221"/>
    <w:rsid w:val="00AC35F6"/>
    <w:rsid w:val="00AC390E"/>
    <w:rsid w:val="00AC412B"/>
    <w:rsid w:val="00AC4F3A"/>
    <w:rsid w:val="00AC4F74"/>
    <w:rsid w:val="00AC5B0B"/>
    <w:rsid w:val="00AC63C6"/>
    <w:rsid w:val="00AC63F5"/>
    <w:rsid w:val="00AC670B"/>
    <w:rsid w:val="00AD12F6"/>
    <w:rsid w:val="00AD5641"/>
    <w:rsid w:val="00AD5793"/>
    <w:rsid w:val="00AD5DCC"/>
    <w:rsid w:val="00AD6736"/>
    <w:rsid w:val="00AD6BED"/>
    <w:rsid w:val="00AD7662"/>
    <w:rsid w:val="00AE3305"/>
    <w:rsid w:val="00AE4841"/>
    <w:rsid w:val="00AE49E6"/>
    <w:rsid w:val="00AE538D"/>
    <w:rsid w:val="00AE76C4"/>
    <w:rsid w:val="00AF001F"/>
    <w:rsid w:val="00AF188E"/>
    <w:rsid w:val="00AF1A8F"/>
    <w:rsid w:val="00AF3536"/>
    <w:rsid w:val="00AF46DE"/>
    <w:rsid w:val="00AF640C"/>
    <w:rsid w:val="00B0143F"/>
    <w:rsid w:val="00B05051"/>
    <w:rsid w:val="00B06ACA"/>
    <w:rsid w:val="00B07A03"/>
    <w:rsid w:val="00B120CC"/>
    <w:rsid w:val="00B1257F"/>
    <w:rsid w:val="00B12D9B"/>
    <w:rsid w:val="00B158CD"/>
    <w:rsid w:val="00B160B6"/>
    <w:rsid w:val="00B16A03"/>
    <w:rsid w:val="00B16EB1"/>
    <w:rsid w:val="00B1710F"/>
    <w:rsid w:val="00B20524"/>
    <w:rsid w:val="00B206CA"/>
    <w:rsid w:val="00B20B3A"/>
    <w:rsid w:val="00B26667"/>
    <w:rsid w:val="00B3184B"/>
    <w:rsid w:val="00B338C1"/>
    <w:rsid w:val="00B33B3C"/>
    <w:rsid w:val="00B343F2"/>
    <w:rsid w:val="00B36405"/>
    <w:rsid w:val="00B37DA5"/>
    <w:rsid w:val="00B41128"/>
    <w:rsid w:val="00B42F45"/>
    <w:rsid w:val="00B43408"/>
    <w:rsid w:val="00B4594C"/>
    <w:rsid w:val="00B50340"/>
    <w:rsid w:val="00B51DE7"/>
    <w:rsid w:val="00B51F73"/>
    <w:rsid w:val="00B54877"/>
    <w:rsid w:val="00B54CF9"/>
    <w:rsid w:val="00B54D32"/>
    <w:rsid w:val="00B564E9"/>
    <w:rsid w:val="00B57953"/>
    <w:rsid w:val="00B613F2"/>
    <w:rsid w:val="00B64871"/>
    <w:rsid w:val="00B648F1"/>
    <w:rsid w:val="00B65916"/>
    <w:rsid w:val="00B70D5D"/>
    <w:rsid w:val="00B71150"/>
    <w:rsid w:val="00B72BE7"/>
    <w:rsid w:val="00B73314"/>
    <w:rsid w:val="00B74132"/>
    <w:rsid w:val="00B74713"/>
    <w:rsid w:val="00B752D6"/>
    <w:rsid w:val="00B77108"/>
    <w:rsid w:val="00B805B9"/>
    <w:rsid w:val="00B8078C"/>
    <w:rsid w:val="00B81EEC"/>
    <w:rsid w:val="00B8461E"/>
    <w:rsid w:val="00B849D5"/>
    <w:rsid w:val="00B86B84"/>
    <w:rsid w:val="00B9016A"/>
    <w:rsid w:val="00B904F5"/>
    <w:rsid w:val="00B918BB"/>
    <w:rsid w:val="00B939A3"/>
    <w:rsid w:val="00B93E5D"/>
    <w:rsid w:val="00B95D0F"/>
    <w:rsid w:val="00B96314"/>
    <w:rsid w:val="00B97E2D"/>
    <w:rsid w:val="00BA0E78"/>
    <w:rsid w:val="00BA26C8"/>
    <w:rsid w:val="00BA2BEA"/>
    <w:rsid w:val="00BA2F9C"/>
    <w:rsid w:val="00BA33C5"/>
    <w:rsid w:val="00BA40D3"/>
    <w:rsid w:val="00BA4731"/>
    <w:rsid w:val="00BA4DC6"/>
    <w:rsid w:val="00BB03A4"/>
    <w:rsid w:val="00BB0B89"/>
    <w:rsid w:val="00BB0CCD"/>
    <w:rsid w:val="00BB3CF6"/>
    <w:rsid w:val="00BC0D07"/>
    <w:rsid w:val="00BC4543"/>
    <w:rsid w:val="00BC5722"/>
    <w:rsid w:val="00BC5AD3"/>
    <w:rsid w:val="00BC6281"/>
    <w:rsid w:val="00BC6641"/>
    <w:rsid w:val="00BC68F6"/>
    <w:rsid w:val="00BC77B0"/>
    <w:rsid w:val="00BC7BD0"/>
    <w:rsid w:val="00BD0166"/>
    <w:rsid w:val="00BD0BE0"/>
    <w:rsid w:val="00BD1165"/>
    <w:rsid w:val="00BD19ED"/>
    <w:rsid w:val="00BD2D30"/>
    <w:rsid w:val="00BD3BD0"/>
    <w:rsid w:val="00BD4742"/>
    <w:rsid w:val="00BE11F9"/>
    <w:rsid w:val="00BE1C8C"/>
    <w:rsid w:val="00BE29FA"/>
    <w:rsid w:val="00BE2A92"/>
    <w:rsid w:val="00BE5F99"/>
    <w:rsid w:val="00BE6158"/>
    <w:rsid w:val="00BE62AB"/>
    <w:rsid w:val="00BE719A"/>
    <w:rsid w:val="00BE720A"/>
    <w:rsid w:val="00BF087A"/>
    <w:rsid w:val="00BF154E"/>
    <w:rsid w:val="00BF1D82"/>
    <w:rsid w:val="00BF22DE"/>
    <w:rsid w:val="00BF4C5F"/>
    <w:rsid w:val="00BF5109"/>
    <w:rsid w:val="00BF56EA"/>
    <w:rsid w:val="00BF5812"/>
    <w:rsid w:val="00BF5935"/>
    <w:rsid w:val="00BF6B21"/>
    <w:rsid w:val="00BF7CC2"/>
    <w:rsid w:val="00C01D6A"/>
    <w:rsid w:val="00C0272E"/>
    <w:rsid w:val="00C029C0"/>
    <w:rsid w:val="00C0363B"/>
    <w:rsid w:val="00C041BF"/>
    <w:rsid w:val="00C060A6"/>
    <w:rsid w:val="00C07690"/>
    <w:rsid w:val="00C0795B"/>
    <w:rsid w:val="00C07B02"/>
    <w:rsid w:val="00C11A1A"/>
    <w:rsid w:val="00C12043"/>
    <w:rsid w:val="00C1453D"/>
    <w:rsid w:val="00C146F2"/>
    <w:rsid w:val="00C15966"/>
    <w:rsid w:val="00C172C9"/>
    <w:rsid w:val="00C177F8"/>
    <w:rsid w:val="00C21A19"/>
    <w:rsid w:val="00C2276A"/>
    <w:rsid w:val="00C2374B"/>
    <w:rsid w:val="00C252CC"/>
    <w:rsid w:val="00C255C7"/>
    <w:rsid w:val="00C25793"/>
    <w:rsid w:val="00C27E09"/>
    <w:rsid w:val="00C30E52"/>
    <w:rsid w:val="00C32CBD"/>
    <w:rsid w:val="00C340FF"/>
    <w:rsid w:val="00C343C9"/>
    <w:rsid w:val="00C35CED"/>
    <w:rsid w:val="00C35D52"/>
    <w:rsid w:val="00C37FC1"/>
    <w:rsid w:val="00C426A5"/>
    <w:rsid w:val="00C4298E"/>
    <w:rsid w:val="00C42BF8"/>
    <w:rsid w:val="00C43103"/>
    <w:rsid w:val="00C4516D"/>
    <w:rsid w:val="00C452A4"/>
    <w:rsid w:val="00C46877"/>
    <w:rsid w:val="00C47146"/>
    <w:rsid w:val="00C47252"/>
    <w:rsid w:val="00C50043"/>
    <w:rsid w:val="00C52AA5"/>
    <w:rsid w:val="00C53630"/>
    <w:rsid w:val="00C549DF"/>
    <w:rsid w:val="00C54FB1"/>
    <w:rsid w:val="00C55885"/>
    <w:rsid w:val="00C571FB"/>
    <w:rsid w:val="00C578C8"/>
    <w:rsid w:val="00C60503"/>
    <w:rsid w:val="00C60ECD"/>
    <w:rsid w:val="00C61CDD"/>
    <w:rsid w:val="00C630A2"/>
    <w:rsid w:val="00C636FA"/>
    <w:rsid w:val="00C647AE"/>
    <w:rsid w:val="00C64C6F"/>
    <w:rsid w:val="00C7149F"/>
    <w:rsid w:val="00C71C70"/>
    <w:rsid w:val="00C745F2"/>
    <w:rsid w:val="00C7573B"/>
    <w:rsid w:val="00C75C52"/>
    <w:rsid w:val="00C76803"/>
    <w:rsid w:val="00C77806"/>
    <w:rsid w:val="00C77EC7"/>
    <w:rsid w:val="00C8062D"/>
    <w:rsid w:val="00C8127B"/>
    <w:rsid w:val="00C828A0"/>
    <w:rsid w:val="00C83868"/>
    <w:rsid w:val="00C83878"/>
    <w:rsid w:val="00C873C2"/>
    <w:rsid w:val="00C87F98"/>
    <w:rsid w:val="00C9153E"/>
    <w:rsid w:val="00C91A80"/>
    <w:rsid w:val="00C91C96"/>
    <w:rsid w:val="00C92201"/>
    <w:rsid w:val="00C92F04"/>
    <w:rsid w:val="00C93DFC"/>
    <w:rsid w:val="00C95976"/>
    <w:rsid w:val="00CA074B"/>
    <w:rsid w:val="00CA0A4E"/>
    <w:rsid w:val="00CA101A"/>
    <w:rsid w:val="00CA710C"/>
    <w:rsid w:val="00CB0996"/>
    <w:rsid w:val="00CB3D6B"/>
    <w:rsid w:val="00CB3FEE"/>
    <w:rsid w:val="00CB480A"/>
    <w:rsid w:val="00CB48D8"/>
    <w:rsid w:val="00CB5911"/>
    <w:rsid w:val="00CB5960"/>
    <w:rsid w:val="00CB788B"/>
    <w:rsid w:val="00CB7DBA"/>
    <w:rsid w:val="00CC0365"/>
    <w:rsid w:val="00CC0D05"/>
    <w:rsid w:val="00CC2064"/>
    <w:rsid w:val="00CC22BA"/>
    <w:rsid w:val="00CC4A51"/>
    <w:rsid w:val="00CC5796"/>
    <w:rsid w:val="00CC6D78"/>
    <w:rsid w:val="00CD1D53"/>
    <w:rsid w:val="00CD2F32"/>
    <w:rsid w:val="00CD32B7"/>
    <w:rsid w:val="00CD68AD"/>
    <w:rsid w:val="00CD6AF6"/>
    <w:rsid w:val="00CD730E"/>
    <w:rsid w:val="00CE0800"/>
    <w:rsid w:val="00CE345A"/>
    <w:rsid w:val="00CE3639"/>
    <w:rsid w:val="00CE380B"/>
    <w:rsid w:val="00CE38EA"/>
    <w:rsid w:val="00CE3CB4"/>
    <w:rsid w:val="00CE3EB9"/>
    <w:rsid w:val="00CE50E3"/>
    <w:rsid w:val="00CE5D78"/>
    <w:rsid w:val="00CE6023"/>
    <w:rsid w:val="00CE6884"/>
    <w:rsid w:val="00CE70A7"/>
    <w:rsid w:val="00CE7A1E"/>
    <w:rsid w:val="00CF0BB2"/>
    <w:rsid w:val="00CF1989"/>
    <w:rsid w:val="00CF4CB4"/>
    <w:rsid w:val="00CF4E7E"/>
    <w:rsid w:val="00CF7724"/>
    <w:rsid w:val="00D00E5A"/>
    <w:rsid w:val="00D0141A"/>
    <w:rsid w:val="00D01E9C"/>
    <w:rsid w:val="00D02370"/>
    <w:rsid w:val="00D03CEB"/>
    <w:rsid w:val="00D043FD"/>
    <w:rsid w:val="00D048A8"/>
    <w:rsid w:val="00D04AEC"/>
    <w:rsid w:val="00D04C6F"/>
    <w:rsid w:val="00D05774"/>
    <w:rsid w:val="00D0684B"/>
    <w:rsid w:val="00D06D5F"/>
    <w:rsid w:val="00D07C2C"/>
    <w:rsid w:val="00D13441"/>
    <w:rsid w:val="00D14436"/>
    <w:rsid w:val="00D148B8"/>
    <w:rsid w:val="00D159F3"/>
    <w:rsid w:val="00D17176"/>
    <w:rsid w:val="00D21CEB"/>
    <w:rsid w:val="00D22D45"/>
    <w:rsid w:val="00D23583"/>
    <w:rsid w:val="00D24D9C"/>
    <w:rsid w:val="00D25AD7"/>
    <w:rsid w:val="00D25BA2"/>
    <w:rsid w:val="00D26B74"/>
    <w:rsid w:val="00D27DDD"/>
    <w:rsid w:val="00D303F1"/>
    <w:rsid w:val="00D30784"/>
    <w:rsid w:val="00D30AB1"/>
    <w:rsid w:val="00D30B71"/>
    <w:rsid w:val="00D3141E"/>
    <w:rsid w:val="00D326E2"/>
    <w:rsid w:val="00D34808"/>
    <w:rsid w:val="00D34BB2"/>
    <w:rsid w:val="00D35365"/>
    <w:rsid w:val="00D35857"/>
    <w:rsid w:val="00D35C33"/>
    <w:rsid w:val="00D41FF9"/>
    <w:rsid w:val="00D44A69"/>
    <w:rsid w:val="00D45BD9"/>
    <w:rsid w:val="00D46A46"/>
    <w:rsid w:val="00D472C0"/>
    <w:rsid w:val="00D47708"/>
    <w:rsid w:val="00D50FC1"/>
    <w:rsid w:val="00D515D6"/>
    <w:rsid w:val="00D5253C"/>
    <w:rsid w:val="00D531DF"/>
    <w:rsid w:val="00D5528C"/>
    <w:rsid w:val="00D63FF6"/>
    <w:rsid w:val="00D6618C"/>
    <w:rsid w:val="00D66C57"/>
    <w:rsid w:val="00D674BA"/>
    <w:rsid w:val="00D700F6"/>
    <w:rsid w:val="00D70DFB"/>
    <w:rsid w:val="00D73F45"/>
    <w:rsid w:val="00D75BB2"/>
    <w:rsid w:val="00D76511"/>
    <w:rsid w:val="00D766DF"/>
    <w:rsid w:val="00D7679E"/>
    <w:rsid w:val="00D77775"/>
    <w:rsid w:val="00D82BA1"/>
    <w:rsid w:val="00D84264"/>
    <w:rsid w:val="00D85C15"/>
    <w:rsid w:val="00D87099"/>
    <w:rsid w:val="00D92538"/>
    <w:rsid w:val="00D92D85"/>
    <w:rsid w:val="00D957D9"/>
    <w:rsid w:val="00D95D7F"/>
    <w:rsid w:val="00D97DC2"/>
    <w:rsid w:val="00DA0AE6"/>
    <w:rsid w:val="00DA26AF"/>
    <w:rsid w:val="00DA3C32"/>
    <w:rsid w:val="00DA6C93"/>
    <w:rsid w:val="00DA75B0"/>
    <w:rsid w:val="00DB0301"/>
    <w:rsid w:val="00DB0838"/>
    <w:rsid w:val="00DB14D1"/>
    <w:rsid w:val="00DB3CFE"/>
    <w:rsid w:val="00DB4333"/>
    <w:rsid w:val="00DB67A5"/>
    <w:rsid w:val="00DB6B21"/>
    <w:rsid w:val="00DB6FFA"/>
    <w:rsid w:val="00DB703E"/>
    <w:rsid w:val="00DC12F2"/>
    <w:rsid w:val="00DC18D3"/>
    <w:rsid w:val="00DC1FF7"/>
    <w:rsid w:val="00DC498E"/>
    <w:rsid w:val="00DC49D4"/>
    <w:rsid w:val="00DC6593"/>
    <w:rsid w:val="00DC7BD0"/>
    <w:rsid w:val="00DD16B9"/>
    <w:rsid w:val="00DD17B0"/>
    <w:rsid w:val="00DD1BD6"/>
    <w:rsid w:val="00DD2D30"/>
    <w:rsid w:val="00DD3224"/>
    <w:rsid w:val="00DD73D4"/>
    <w:rsid w:val="00DE0481"/>
    <w:rsid w:val="00DE0E80"/>
    <w:rsid w:val="00DE221E"/>
    <w:rsid w:val="00DE2241"/>
    <w:rsid w:val="00DE24C6"/>
    <w:rsid w:val="00DE2A5C"/>
    <w:rsid w:val="00DE3034"/>
    <w:rsid w:val="00DE4197"/>
    <w:rsid w:val="00DE5EE5"/>
    <w:rsid w:val="00DE7073"/>
    <w:rsid w:val="00DF1CC7"/>
    <w:rsid w:val="00DF28E2"/>
    <w:rsid w:val="00DF3834"/>
    <w:rsid w:val="00DF3E8E"/>
    <w:rsid w:val="00DF6F58"/>
    <w:rsid w:val="00DF7C4D"/>
    <w:rsid w:val="00E019EF"/>
    <w:rsid w:val="00E076F2"/>
    <w:rsid w:val="00E104E2"/>
    <w:rsid w:val="00E10EF2"/>
    <w:rsid w:val="00E1134D"/>
    <w:rsid w:val="00E1199A"/>
    <w:rsid w:val="00E12A89"/>
    <w:rsid w:val="00E14141"/>
    <w:rsid w:val="00E159CD"/>
    <w:rsid w:val="00E241C9"/>
    <w:rsid w:val="00E24203"/>
    <w:rsid w:val="00E2480C"/>
    <w:rsid w:val="00E25418"/>
    <w:rsid w:val="00E26AA7"/>
    <w:rsid w:val="00E27E99"/>
    <w:rsid w:val="00E305CA"/>
    <w:rsid w:val="00E30667"/>
    <w:rsid w:val="00E30FDE"/>
    <w:rsid w:val="00E31D06"/>
    <w:rsid w:val="00E325C2"/>
    <w:rsid w:val="00E32A67"/>
    <w:rsid w:val="00E3456C"/>
    <w:rsid w:val="00E404F5"/>
    <w:rsid w:val="00E40E63"/>
    <w:rsid w:val="00E41B72"/>
    <w:rsid w:val="00E41C01"/>
    <w:rsid w:val="00E42366"/>
    <w:rsid w:val="00E428A5"/>
    <w:rsid w:val="00E42A3B"/>
    <w:rsid w:val="00E42DF5"/>
    <w:rsid w:val="00E446EB"/>
    <w:rsid w:val="00E46981"/>
    <w:rsid w:val="00E469FD"/>
    <w:rsid w:val="00E50037"/>
    <w:rsid w:val="00E5029C"/>
    <w:rsid w:val="00E504F1"/>
    <w:rsid w:val="00E50659"/>
    <w:rsid w:val="00E50DA4"/>
    <w:rsid w:val="00E50E72"/>
    <w:rsid w:val="00E520FB"/>
    <w:rsid w:val="00E54F68"/>
    <w:rsid w:val="00E553B4"/>
    <w:rsid w:val="00E55E7D"/>
    <w:rsid w:val="00E55F2E"/>
    <w:rsid w:val="00E57178"/>
    <w:rsid w:val="00E57EAF"/>
    <w:rsid w:val="00E606F1"/>
    <w:rsid w:val="00E6180A"/>
    <w:rsid w:val="00E644D4"/>
    <w:rsid w:val="00E64B44"/>
    <w:rsid w:val="00E64F6C"/>
    <w:rsid w:val="00E654FF"/>
    <w:rsid w:val="00E65965"/>
    <w:rsid w:val="00E65A7E"/>
    <w:rsid w:val="00E6703A"/>
    <w:rsid w:val="00E705C3"/>
    <w:rsid w:val="00E72F75"/>
    <w:rsid w:val="00E73047"/>
    <w:rsid w:val="00E73B1E"/>
    <w:rsid w:val="00E73FEE"/>
    <w:rsid w:val="00E745F2"/>
    <w:rsid w:val="00E74D41"/>
    <w:rsid w:val="00E74DC7"/>
    <w:rsid w:val="00E768BE"/>
    <w:rsid w:val="00E76CEC"/>
    <w:rsid w:val="00E807D1"/>
    <w:rsid w:val="00E81889"/>
    <w:rsid w:val="00E83BA9"/>
    <w:rsid w:val="00E843F7"/>
    <w:rsid w:val="00E85B64"/>
    <w:rsid w:val="00E86BF0"/>
    <w:rsid w:val="00E87DBE"/>
    <w:rsid w:val="00E9349F"/>
    <w:rsid w:val="00E94477"/>
    <w:rsid w:val="00E96AF3"/>
    <w:rsid w:val="00EA00DA"/>
    <w:rsid w:val="00EA0FC2"/>
    <w:rsid w:val="00EA14B3"/>
    <w:rsid w:val="00EA2FC6"/>
    <w:rsid w:val="00EA35C3"/>
    <w:rsid w:val="00EA5232"/>
    <w:rsid w:val="00EA647F"/>
    <w:rsid w:val="00EA7BA2"/>
    <w:rsid w:val="00EB1864"/>
    <w:rsid w:val="00EB21C2"/>
    <w:rsid w:val="00EB3592"/>
    <w:rsid w:val="00EC0C2B"/>
    <w:rsid w:val="00EC0F4A"/>
    <w:rsid w:val="00EC1E82"/>
    <w:rsid w:val="00EC2D13"/>
    <w:rsid w:val="00EC3108"/>
    <w:rsid w:val="00EC3286"/>
    <w:rsid w:val="00EC600C"/>
    <w:rsid w:val="00EC6560"/>
    <w:rsid w:val="00EC66BF"/>
    <w:rsid w:val="00EC7C8B"/>
    <w:rsid w:val="00EC7F47"/>
    <w:rsid w:val="00ED0999"/>
    <w:rsid w:val="00ED0C49"/>
    <w:rsid w:val="00ED447D"/>
    <w:rsid w:val="00ED4542"/>
    <w:rsid w:val="00ED5697"/>
    <w:rsid w:val="00ED59C1"/>
    <w:rsid w:val="00ED6CC1"/>
    <w:rsid w:val="00ED7A47"/>
    <w:rsid w:val="00EE2499"/>
    <w:rsid w:val="00EE309C"/>
    <w:rsid w:val="00EE5570"/>
    <w:rsid w:val="00EE5CA3"/>
    <w:rsid w:val="00EE63B0"/>
    <w:rsid w:val="00EE6426"/>
    <w:rsid w:val="00EE7B6D"/>
    <w:rsid w:val="00EF2236"/>
    <w:rsid w:val="00EF2E3A"/>
    <w:rsid w:val="00EF43BF"/>
    <w:rsid w:val="00EF55EB"/>
    <w:rsid w:val="00EF5773"/>
    <w:rsid w:val="00EF6036"/>
    <w:rsid w:val="00EF6E03"/>
    <w:rsid w:val="00F030AB"/>
    <w:rsid w:val="00F04811"/>
    <w:rsid w:val="00F04D6D"/>
    <w:rsid w:val="00F05111"/>
    <w:rsid w:val="00F078DC"/>
    <w:rsid w:val="00F12B4E"/>
    <w:rsid w:val="00F16256"/>
    <w:rsid w:val="00F1692C"/>
    <w:rsid w:val="00F2000D"/>
    <w:rsid w:val="00F20390"/>
    <w:rsid w:val="00F206AF"/>
    <w:rsid w:val="00F23E5F"/>
    <w:rsid w:val="00F26A91"/>
    <w:rsid w:val="00F30BD4"/>
    <w:rsid w:val="00F30D3E"/>
    <w:rsid w:val="00F31B4C"/>
    <w:rsid w:val="00F31EB1"/>
    <w:rsid w:val="00F32030"/>
    <w:rsid w:val="00F33232"/>
    <w:rsid w:val="00F364F2"/>
    <w:rsid w:val="00F376FE"/>
    <w:rsid w:val="00F45149"/>
    <w:rsid w:val="00F51269"/>
    <w:rsid w:val="00F51A1E"/>
    <w:rsid w:val="00F5338B"/>
    <w:rsid w:val="00F53652"/>
    <w:rsid w:val="00F54B76"/>
    <w:rsid w:val="00F54C92"/>
    <w:rsid w:val="00F55BEE"/>
    <w:rsid w:val="00F56007"/>
    <w:rsid w:val="00F569FC"/>
    <w:rsid w:val="00F56C40"/>
    <w:rsid w:val="00F56E3E"/>
    <w:rsid w:val="00F57881"/>
    <w:rsid w:val="00F6099A"/>
    <w:rsid w:val="00F612BC"/>
    <w:rsid w:val="00F62811"/>
    <w:rsid w:val="00F63BE9"/>
    <w:rsid w:val="00F713C6"/>
    <w:rsid w:val="00F728D4"/>
    <w:rsid w:val="00F73DDE"/>
    <w:rsid w:val="00F749E4"/>
    <w:rsid w:val="00F74AAF"/>
    <w:rsid w:val="00F83D02"/>
    <w:rsid w:val="00F83E6B"/>
    <w:rsid w:val="00F850B5"/>
    <w:rsid w:val="00F85687"/>
    <w:rsid w:val="00F86F8B"/>
    <w:rsid w:val="00F87C53"/>
    <w:rsid w:val="00F9365E"/>
    <w:rsid w:val="00F93B75"/>
    <w:rsid w:val="00F96673"/>
    <w:rsid w:val="00F966C5"/>
    <w:rsid w:val="00F966F7"/>
    <w:rsid w:val="00FA12B6"/>
    <w:rsid w:val="00FA4B7E"/>
    <w:rsid w:val="00FA4B8C"/>
    <w:rsid w:val="00FA6643"/>
    <w:rsid w:val="00FA685A"/>
    <w:rsid w:val="00FA7B49"/>
    <w:rsid w:val="00FB3853"/>
    <w:rsid w:val="00FB3B41"/>
    <w:rsid w:val="00FB4235"/>
    <w:rsid w:val="00FB6DB0"/>
    <w:rsid w:val="00FC011E"/>
    <w:rsid w:val="00FC01E6"/>
    <w:rsid w:val="00FC1495"/>
    <w:rsid w:val="00FC18B0"/>
    <w:rsid w:val="00FC3F42"/>
    <w:rsid w:val="00FC5BA7"/>
    <w:rsid w:val="00FC65A0"/>
    <w:rsid w:val="00FC6815"/>
    <w:rsid w:val="00FC6F35"/>
    <w:rsid w:val="00FC7264"/>
    <w:rsid w:val="00FD0415"/>
    <w:rsid w:val="00FD0F4A"/>
    <w:rsid w:val="00FD1A01"/>
    <w:rsid w:val="00FD25E9"/>
    <w:rsid w:val="00FD4198"/>
    <w:rsid w:val="00FD456C"/>
    <w:rsid w:val="00FD7440"/>
    <w:rsid w:val="00FD7685"/>
    <w:rsid w:val="00FD7DA1"/>
    <w:rsid w:val="00FE08CC"/>
    <w:rsid w:val="00FE26A0"/>
    <w:rsid w:val="00FE3BB8"/>
    <w:rsid w:val="00FE495E"/>
    <w:rsid w:val="00FE4B92"/>
    <w:rsid w:val="00FE6712"/>
    <w:rsid w:val="00FE6B84"/>
    <w:rsid w:val="00FE6DD9"/>
    <w:rsid w:val="00FF0DE8"/>
    <w:rsid w:val="00FF10A8"/>
    <w:rsid w:val="00FF5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9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table" w:customStyle="1" w:styleId="TableGrid3">
    <w:name w:val="Table Grid3"/>
    <w:basedOn w:val="TableNormal"/>
    <w:next w:val="TableGrid"/>
    <w:uiPriority w:val="59"/>
    <w:rsid w:val="003F005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0">
    <w:name w:val="item"/>
    <w:basedOn w:val="Normal"/>
    <w:rsid w:val="00563AFC"/>
    <w:pPr>
      <w:spacing w:before="100" w:beforeAutospacing="1" w:after="100" w:afterAutospacing="1" w:line="240" w:lineRule="auto"/>
    </w:pPr>
    <w:rPr>
      <w:rFonts w:eastAsia="Times New Roman" w:cs="Times New Roman"/>
      <w:sz w:val="24"/>
      <w:szCs w:val="24"/>
      <w:lang w:eastAsia="en-AU"/>
    </w:rPr>
  </w:style>
  <w:style w:type="paragraph" w:customStyle="1" w:styleId="family">
    <w:name w:val="family"/>
    <w:basedOn w:val="Normal"/>
    <w:rsid w:val="00083613"/>
    <w:pPr>
      <w:spacing w:line="240" w:lineRule="auto"/>
      <w:ind w:left="176"/>
    </w:pPr>
    <w:rPr>
      <w:rFonts w:eastAsia="Times New Roman" w:cs="Times New Roman"/>
      <w:sz w:val="20"/>
    </w:rPr>
  </w:style>
  <w:style w:type="paragraph" w:styleId="NoSpacing">
    <w:name w:val="No Spacing"/>
    <w:uiPriority w:val="1"/>
    <w:qFormat/>
    <w:rsid w:val="00DD3224"/>
    <w:rPr>
      <w:rFonts w:asciiTheme="minorHAnsi" w:hAnsiTheme="minorHAnsi"/>
      <w:sz w:val="22"/>
      <w:szCs w:val="22"/>
    </w:rPr>
  </w:style>
  <w:style w:type="table" w:customStyle="1" w:styleId="TableGrid4">
    <w:name w:val="Table Grid4"/>
    <w:basedOn w:val="TableNormal"/>
    <w:next w:val="TableGrid"/>
    <w:uiPriority w:val="59"/>
    <w:rsid w:val="00532705"/>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Schedulepara">
    <w:name w:val="Schedule para"/>
    <w:basedOn w:val="Normal"/>
    <w:rsid w:val="002E5222"/>
    <w:pPr>
      <w:tabs>
        <w:tab w:val="right" w:pos="567"/>
      </w:tabs>
      <w:spacing w:before="180" w:line="260" w:lineRule="exact"/>
      <w:ind w:left="964" w:hanging="964"/>
      <w:jc w:val="both"/>
    </w:pPr>
    <w:rPr>
      <w:rFonts w:eastAsia="Times New Roman" w:cs="Times New Roman"/>
      <w:sz w:val="24"/>
      <w:szCs w:val="24"/>
    </w:rPr>
  </w:style>
  <w:style w:type="paragraph" w:customStyle="1" w:styleId="Species">
    <w:name w:val="Species"/>
    <w:basedOn w:val="Normal"/>
    <w:rsid w:val="00E50DA4"/>
    <w:pPr>
      <w:spacing w:line="240" w:lineRule="auto"/>
      <w:ind w:left="460"/>
    </w:pPr>
    <w:rPr>
      <w:rFonts w:eastAsia="Times New Roman" w:cs="Times New Roman"/>
      <w:i/>
      <w:sz w:val="20"/>
    </w:rPr>
  </w:style>
  <w:style w:type="paragraph" w:customStyle="1" w:styleId="Specialap">
    <w:name w:val="Special ap"/>
    <w:basedOn w:val="ActHead7"/>
    <w:link w:val="SpecialapChar"/>
    <w:rsid w:val="00A62672"/>
    <w:pPr>
      <w:outlineLvl w:val="9"/>
    </w:pPr>
  </w:style>
  <w:style w:type="character" w:customStyle="1" w:styleId="SpecialapChar">
    <w:name w:val="Special ap Char"/>
    <w:basedOn w:val="DefaultParagraphFont"/>
    <w:link w:val="Specialap"/>
    <w:rsid w:val="00A62672"/>
    <w:rPr>
      <w:rFonts w:ascii="Arial" w:eastAsia="Times New Roman" w:hAnsi="Arial" w:cs="Times New Roman"/>
      <w:b/>
      <w:kern w:val="28"/>
      <w:sz w:val="28"/>
      <w:lang w:eastAsia="en-AU"/>
    </w:rPr>
  </w:style>
  <w:style w:type="paragraph" w:customStyle="1" w:styleId="Scheduletitle">
    <w:name w:val="Schedule title"/>
    <w:basedOn w:val="Normal"/>
    <w:next w:val="Normal"/>
    <w:rsid w:val="00B16EB1"/>
    <w:pPr>
      <w:keepNext/>
      <w:keepLines/>
      <w:spacing w:before="480" w:line="240" w:lineRule="auto"/>
      <w:ind w:left="2410" w:hanging="2410"/>
    </w:pPr>
    <w:rPr>
      <w:rFonts w:ascii="Arial" w:eastAsia="Times New Roman" w:hAnsi="Arial" w:cs="Times New Roman"/>
      <w:b/>
      <w:sz w:val="32"/>
      <w:szCs w:val="24"/>
      <w:lang w:eastAsia="en-AU"/>
    </w:rPr>
  </w:style>
  <w:style w:type="paragraph" w:styleId="BodyText3">
    <w:name w:val="Body Text 3"/>
    <w:basedOn w:val="Normal"/>
    <w:link w:val="BodyText3Char"/>
    <w:rsid w:val="00180168"/>
    <w:pPr>
      <w:widowControl w:val="0"/>
      <w:spacing w:line="240" w:lineRule="auto"/>
    </w:pPr>
    <w:rPr>
      <w:rFonts w:eastAsia="Times New Roman" w:cs="Times New Roman"/>
      <w:snapToGrid w:val="0"/>
      <w:color w:val="000000"/>
      <w:sz w:val="18"/>
      <w:lang w:val="en-US"/>
    </w:rPr>
  </w:style>
  <w:style w:type="character" w:customStyle="1" w:styleId="BodyText3Char">
    <w:name w:val="Body Text 3 Char"/>
    <w:basedOn w:val="DefaultParagraphFont"/>
    <w:link w:val="BodyText3"/>
    <w:rsid w:val="00180168"/>
    <w:rPr>
      <w:rFonts w:eastAsia="Times New Roman" w:cs="Times New Roman"/>
      <w:snapToGrid w:val="0"/>
      <w:color w:val="000000"/>
      <w:sz w:val="18"/>
      <w:lang w:val="en-US"/>
    </w:rPr>
  </w:style>
  <w:style w:type="paragraph" w:customStyle="1" w:styleId="listbullet0">
    <w:name w:val="listbullet"/>
    <w:basedOn w:val="Normal"/>
    <w:rsid w:val="006471ED"/>
    <w:pPr>
      <w:spacing w:before="100" w:beforeAutospacing="1" w:after="100" w:afterAutospacing="1" w:line="240" w:lineRule="auto"/>
    </w:pPr>
    <w:rPr>
      <w:rFonts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1990986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792553086">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1615554413">
      <w:bodyDiv w:val="1"/>
      <w:marLeft w:val="0"/>
      <w:marRight w:val="0"/>
      <w:marTop w:val="0"/>
      <w:marBottom w:val="0"/>
      <w:divBdr>
        <w:top w:val="none" w:sz="0" w:space="0" w:color="auto"/>
        <w:left w:val="none" w:sz="0" w:space="0" w:color="auto"/>
        <w:bottom w:val="none" w:sz="0" w:space="0" w:color="auto"/>
        <w:right w:val="none" w:sz="0" w:space="0" w:color="auto"/>
      </w:divBdr>
    </w:div>
    <w:div w:id="1743286257">
      <w:bodyDiv w:val="1"/>
      <w:marLeft w:val="0"/>
      <w:marRight w:val="0"/>
      <w:marTop w:val="0"/>
      <w:marBottom w:val="0"/>
      <w:divBdr>
        <w:top w:val="none" w:sz="0" w:space="0" w:color="auto"/>
        <w:left w:val="none" w:sz="0" w:space="0" w:color="auto"/>
        <w:bottom w:val="none" w:sz="0" w:space="0" w:color="auto"/>
        <w:right w:val="none" w:sz="0" w:space="0" w:color="auto"/>
      </w:divBdr>
    </w:div>
    <w:div w:id="2074229684">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2E82-A04D-4E5C-85B4-4988C7B9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8065</Words>
  <Characters>45165</Characters>
  <Application>Microsoft Office Word</Application>
  <DocSecurity>12</DocSecurity>
  <PresentationFormat/>
  <Lines>1158</Lines>
  <Paragraphs>831</Paragraphs>
  <ScaleCrop>false</ScaleCrop>
  <HeadingPairs>
    <vt:vector size="2" baseType="variant">
      <vt:variant>
        <vt:lpstr>Title</vt:lpstr>
      </vt:variant>
      <vt:variant>
        <vt:i4>1</vt:i4>
      </vt:variant>
    </vt:vector>
  </HeadingPairs>
  <TitlesOfParts>
    <vt:vector size="1" baseType="lpstr">
      <vt:lpstr>Editorial Changes—Report No. 17</vt:lpstr>
    </vt:vector>
  </TitlesOfParts>
  <Manager/>
  <Company/>
  <LinksUpToDate>false</LinksUpToDate>
  <CharactersWithSpaces>52399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17</dc:title>
  <dc:subject/>
  <dc:creator/>
  <cp:keywords/>
  <dc:description/>
  <cp:lastModifiedBy/>
  <cp:revision>1</cp:revision>
  <dcterms:created xsi:type="dcterms:W3CDTF">2024-05-17T07:11:00Z</dcterms:created>
  <dcterms:modified xsi:type="dcterms:W3CDTF">2024-05-17T07:11:00Z</dcterms:modified>
  <cp:category>Other - To publish on the Register</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DLM">
    <vt:lpwstr> </vt:lpwstr>
  </property>
  <property fmtid="{D5CDD505-2E9C-101B-9397-08002B2CF9AE}" pid="4" name="DoNotAsk">
    <vt:lpwstr>0</vt:lpwstr>
  </property>
  <property fmtid="{D5CDD505-2E9C-101B-9397-08002B2CF9AE}" pid="5" name="ChangedTitle">
    <vt:lpwstr/>
  </property>
  <property fmtid="{D5CDD505-2E9C-101B-9397-08002B2CF9AE}" pid="6" name="TrimID">
    <vt:lpwstr>PC:D24/7972</vt:lpwstr>
  </property>
</Properties>
</file>